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5BB" w:rsidRPr="007A6E9B" w:rsidRDefault="00C44CE0" w:rsidP="007A6E9B">
      <w:pPr>
        <w:spacing w:after="0" w:line="240" w:lineRule="auto"/>
        <w:jc w:val="center"/>
        <w:rPr>
          <w:b/>
          <w:sz w:val="28"/>
          <w:szCs w:val="24"/>
          <w:u w:val="single"/>
        </w:rPr>
      </w:pPr>
      <w:r w:rsidRPr="007A6E9B">
        <w:rPr>
          <w:b/>
          <w:sz w:val="28"/>
          <w:szCs w:val="24"/>
          <w:u w:val="single"/>
        </w:rPr>
        <w:t>PRESENTACION VII INFORME ESPAÑA AL</w:t>
      </w:r>
      <w:r w:rsidR="00D755BB" w:rsidRPr="007A6E9B">
        <w:rPr>
          <w:b/>
          <w:sz w:val="28"/>
          <w:szCs w:val="24"/>
          <w:u w:val="single"/>
        </w:rPr>
        <w:t xml:space="preserve"> C</w:t>
      </w:r>
      <w:r w:rsidR="0053720E">
        <w:rPr>
          <w:b/>
          <w:sz w:val="28"/>
          <w:szCs w:val="24"/>
          <w:u w:val="single"/>
        </w:rPr>
        <w:t>OMITÉ CONTRA LA TORTURA</w:t>
      </w:r>
    </w:p>
    <w:p w:rsidR="00D755BB" w:rsidRPr="007A6E9B" w:rsidRDefault="00C44CE0" w:rsidP="007A6E9B">
      <w:pPr>
        <w:spacing w:after="0" w:line="240" w:lineRule="auto"/>
        <w:jc w:val="center"/>
        <w:rPr>
          <w:b/>
          <w:sz w:val="28"/>
          <w:szCs w:val="24"/>
          <w:u w:val="single"/>
        </w:rPr>
      </w:pPr>
      <w:r w:rsidRPr="007A6E9B">
        <w:rPr>
          <w:b/>
          <w:sz w:val="28"/>
          <w:szCs w:val="24"/>
          <w:u w:val="single"/>
        </w:rPr>
        <w:t>RESPUESTAS ESCRITAS COMPLEMENTARIAS</w:t>
      </w:r>
    </w:p>
    <w:p w:rsidR="00C44CE0" w:rsidRPr="007A6E9B" w:rsidRDefault="00C44CE0" w:rsidP="007A6E9B">
      <w:pPr>
        <w:spacing w:after="0" w:line="240" w:lineRule="auto"/>
        <w:jc w:val="both"/>
        <w:rPr>
          <w:b/>
          <w:sz w:val="28"/>
          <w:szCs w:val="24"/>
        </w:rPr>
      </w:pPr>
    </w:p>
    <w:p w:rsidR="00C44CE0" w:rsidRPr="007A6E9B" w:rsidRDefault="00C44CE0" w:rsidP="007A6E9B">
      <w:pPr>
        <w:spacing w:after="0" w:line="240" w:lineRule="auto"/>
        <w:jc w:val="both"/>
        <w:rPr>
          <w:sz w:val="24"/>
          <w:szCs w:val="24"/>
        </w:rPr>
      </w:pPr>
      <w:r w:rsidRPr="007A6E9B">
        <w:rPr>
          <w:sz w:val="24"/>
          <w:szCs w:val="24"/>
        </w:rPr>
        <w:t xml:space="preserve">De </w:t>
      </w:r>
      <w:r w:rsidR="0053720E">
        <w:rPr>
          <w:sz w:val="24"/>
          <w:szCs w:val="24"/>
        </w:rPr>
        <w:t xml:space="preserve">conformidad con el </w:t>
      </w:r>
      <w:r w:rsidRPr="007A6E9B">
        <w:rPr>
          <w:sz w:val="24"/>
          <w:szCs w:val="24"/>
        </w:rPr>
        <w:t xml:space="preserve">procedimiento </w:t>
      </w:r>
      <w:r w:rsidR="0053720E">
        <w:rPr>
          <w:sz w:val="24"/>
          <w:szCs w:val="24"/>
        </w:rPr>
        <w:t>establecido por e</w:t>
      </w:r>
      <w:r w:rsidRPr="007A6E9B">
        <w:rPr>
          <w:sz w:val="24"/>
          <w:szCs w:val="24"/>
        </w:rPr>
        <w:t xml:space="preserve">l Comité </w:t>
      </w:r>
      <w:r w:rsidR="0053720E">
        <w:rPr>
          <w:sz w:val="24"/>
          <w:szCs w:val="24"/>
        </w:rPr>
        <w:t xml:space="preserve">contra la Tortura </w:t>
      </w:r>
      <w:r w:rsidRPr="007A6E9B">
        <w:rPr>
          <w:sz w:val="24"/>
          <w:szCs w:val="24"/>
        </w:rPr>
        <w:t xml:space="preserve">y tal </w:t>
      </w:r>
      <w:r w:rsidR="00D265C3">
        <w:rPr>
          <w:sz w:val="24"/>
          <w:szCs w:val="24"/>
        </w:rPr>
        <w:t xml:space="preserve">y </w:t>
      </w:r>
      <w:r w:rsidRPr="007A6E9B">
        <w:rPr>
          <w:sz w:val="24"/>
          <w:szCs w:val="24"/>
        </w:rPr>
        <w:t xml:space="preserve">como </w:t>
      </w:r>
      <w:r w:rsidR="00D265C3">
        <w:rPr>
          <w:sz w:val="24"/>
          <w:szCs w:val="24"/>
        </w:rPr>
        <w:t xml:space="preserve">indicó </w:t>
      </w:r>
      <w:r w:rsidRPr="007A6E9B">
        <w:rPr>
          <w:sz w:val="24"/>
          <w:szCs w:val="24"/>
        </w:rPr>
        <w:t>el Sr. Presidente</w:t>
      </w:r>
      <w:r w:rsidR="00D265C3">
        <w:rPr>
          <w:sz w:val="24"/>
          <w:szCs w:val="24"/>
        </w:rPr>
        <w:t xml:space="preserve"> del Comité en la sesión</w:t>
      </w:r>
      <w:r w:rsidRPr="007A6E9B">
        <w:rPr>
          <w:sz w:val="24"/>
          <w:szCs w:val="24"/>
        </w:rPr>
        <w:t xml:space="preserve">, España tiene el honor de </w:t>
      </w:r>
      <w:r w:rsidR="00D265C3">
        <w:rPr>
          <w:sz w:val="24"/>
          <w:szCs w:val="24"/>
        </w:rPr>
        <w:t xml:space="preserve">remitir por escrito </w:t>
      </w:r>
      <w:r w:rsidRPr="007A6E9B">
        <w:rPr>
          <w:sz w:val="24"/>
          <w:szCs w:val="24"/>
        </w:rPr>
        <w:t xml:space="preserve">las respuestas a </w:t>
      </w:r>
      <w:r w:rsidR="00DC1BC7" w:rsidRPr="007A6E9B">
        <w:rPr>
          <w:sz w:val="24"/>
          <w:szCs w:val="24"/>
        </w:rPr>
        <w:t xml:space="preserve">las preguntas de </w:t>
      </w:r>
      <w:r w:rsidRPr="007A6E9B">
        <w:rPr>
          <w:sz w:val="24"/>
          <w:szCs w:val="24"/>
        </w:rPr>
        <w:t>los Sres. Relatores</w:t>
      </w:r>
      <w:r w:rsidR="00DC1BC7" w:rsidRPr="007A6E9B">
        <w:rPr>
          <w:sz w:val="24"/>
          <w:szCs w:val="24"/>
        </w:rPr>
        <w:t xml:space="preserve"> </w:t>
      </w:r>
      <w:r w:rsidR="00D265C3">
        <w:rPr>
          <w:sz w:val="24"/>
          <w:szCs w:val="24"/>
        </w:rPr>
        <w:t xml:space="preserve">e </w:t>
      </w:r>
      <w:r w:rsidR="00D265C3" w:rsidRPr="007A6E9B">
        <w:rPr>
          <w:sz w:val="24"/>
          <w:szCs w:val="24"/>
        </w:rPr>
        <w:t>información legislativa solicitada</w:t>
      </w:r>
      <w:r w:rsidR="00D265C3">
        <w:rPr>
          <w:sz w:val="24"/>
          <w:szCs w:val="24"/>
        </w:rPr>
        <w:t xml:space="preserve"> </w:t>
      </w:r>
      <w:r w:rsidR="0053720E">
        <w:rPr>
          <w:sz w:val="24"/>
          <w:szCs w:val="24"/>
        </w:rPr>
        <w:t>qu</w:t>
      </w:r>
      <w:r w:rsidR="00DC1BC7" w:rsidRPr="007A6E9B">
        <w:rPr>
          <w:sz w:val="24"/>
          <w:szCs w:val="24"/>
        </w:rPr>
        <w:t xml:space="preserve">e </w:t>
      </w:r>
      <w:r w:rsidR="0053720E">
        <w:rPr>
          <w:sz w:val="24"/>
          <w:szCs w:val="24"/>
        </w:rPr>
        <w:t xml:space="preserve">por falta de tiempo no </w:t>
      </w:r>
      <w:r w:rsidR="00D265C3">
        <w:rPr>
          <w:sz w:val="24"/>
          <w:szCs w:val="24"/>
        </w:rPr>
        <w:t xml:space="preserve">fue posible </w:t>
      </w:r>
      <w:r w:rsidRPr="007A6E9B">
        <w:rPr>
          <w:sz w:val="24"/>
          <w:szCs w:val="24"/>
        </w:rPr>
        <w:t>responder</w:t>
      </w:r>
      <w:r w:rsidR="00DC1BC7" w:rsidRPr="007A6E9B">
        <w:rPr>
          <w:sz w:val="24"/>
          <w:szCs w:val="24"/>
        </w:rPr>
        <w:t xml:space="preserve"> oralmente</w:t>
      </w:r>
      <w:r w:rsidRPr="007A6E9B">
        <w:rPr>
          <w:sz w:val="24"/>
          <w:szCs w:val="24"/>
        </w:rPr>
        <w:t xml:space="preserve"> en la sesión celebrada el 21 de</w:t>
      </w:r>
      <w:r w:rsidR="007A6E9B" w:rsidRPr="007A6E9B">
        <w:rPr>
          <w:sz w:val="24"/>
          <w:szCs w:val="24"/>
        </w:rPr>
        <w:t xml:space="preserve"> julio de 2023:</w:t>
      </w:r>
    </w:p>
    <w:p w:rsidR="008624E5" w:rsidRDefault="008624E5" w:rsidP="008624E5">
      <w:pPr>
        <w:spacing w:after="0" w:line="240" w:lineRule="auto"/>
        <w:jc w:val="both"/>
        <w:rPr>
          <w:sz w:val="24"/>
          <w:szCs w:val="24"/>
        </w:rPr>
      </w:pPr>
    </w:p>
    <w:p w:rsidR="008624E5" w:rsidRPr="008624E5" w:rsidRDefault="008624E5" w:rsidP="008624E5">
      <w:pPr>
        <w:spacing w:after="0" w:line="240" w:lineRule="auto"/>
        <w:jc w:val="both"/>
        <w:rPr>
          <w:sz w:val="24"/>
          <w:szCs w:val="24"/>
        </w:rPr>
      </w:pPr>
      <w:r>
        <w:rPr>
          <w:sz w:val="24"/>
          <w:szCs w:val="24"/>
        </w:rPr>
        <w:t xml:space="preserve">1) </w:t>
      </w:r>
      <w:r w:rsidRPr="008624E5">
        <w:rPr>
          <w:sz w:val="24"/>
          <w:szCs w:val="24"/>
        </w:rPr>
        <w:t xml:space="preserve">En relación con el </w:t>
      </w:r>
      <w:r w:rsidRPr="008624E5">
        <w:rPr>
          <w:b/>
          <w:sz w:val="24"/>
          <w:szCs w:val="24"/>
        </w:rPr>
        <w:t>funcionamiento y labor que desarrolla el Mecanismo Nacional de Prevención contra la Tortura</w:t>
      </w:r>
      <w:r w:rsidRPr="008624E5">
        <w:rPr>
          <w:sz w:val="24"/>
          <w:szCs w:val="24"/>
        </w:rPr>
        <w:t xml:space="preserve"> </w:t>
      </w:r>
      <w:r w:rsidR="00D265C3">
        <w:rPr>
          <w:sz w:val="24"/>
          <w:szCs w:val="24"/>
        </w:rPr>
        <w:t xml:space="preserve">(MNP) </w:t>
      </w:r>
      <w:r w:rsidRPr="008624E5">
        <w:rPr>
          <w:sz w:val="24"/>
          <w:szCs w:val="24"/>
        </w:rPr>
        <w:t xml:space="preserve">puede consultarse el informe 22 del MNP y la parte estadística del informe anual del Defensor del Pueblo, cuyos enlaces son los siguientes: </w:t>
      </w:r>
    </w:p>
    <w:p w:rsidR="008624E5" w:rsidRPr="008624E5" w:rsidRDefault="008624E5" w:rsidP="008624E5">
      <w:pPr>
        <w:spacing w:after="0" w:line="240" w:lineRule="auto"/>
        <w:jc w:val="both"/>
        <w:rPr>
          <w:sz w:val="24"/>
          <w:szCs w:val="24"/>
        </w:rPr>
      </w:pPr>
    </w:p>
    <w:p w:rsidR="008624E5" w:rsidRDefault="00672A32" w:rsidP="008624E5">
      <w:pPr>
        <w:spacing w:after="0" w:line="240" w:lineRule="auto"/>
        <w:jc w:val="both"/>
        <w:rPr>
          <w:sz w:val="24"/>
          <w:szCs w:val="24"/>
        </w:rPr>
      </w:pPr>
      <w:hyperlink r:id="rId7" w:history="1">
        <w:r w:rsidR="00B33D10" w:rsidRPr="007F34D1">
          <w:rPr>
            <w:rStyle w:val="Hipervnculo"/>
            <w:sz w:val="24"/>
            <w:szCs w:val="24"/>
          </w:rPr>
          <w:t>https://www.defensordelpueblo.es/wp-content/uploads/2023/06/Informe_2022_MNP.pdf</w:t>
        </w:r>
      </w:hyperlink>
      <w:r w:rsidR="00B33D10">
        <w:rPr>
          <w:sz w:val="24"/>
          <w:szCs w:val="24"/>
        </w:rPr>
        <w:t xml:space="preserve"> </w:t>
      </w:r>
    </w:p>
    <w:p w:rsidR="00B33D10" w:rsidRDefault="00B33D10" w:rsidP="008624E5">
      <w:pPr>
        <w:spacing w:after="0" w:line="240" w:lineRule="auto"/>
        <w:jc w:val="both"/>
        <w:rPr>
          <w:sz w:val="24"/>
          <w:szCs w:val="24"/>
        </w:rPr>
      </w:pPr>
    </w:p>
    <w:p w:rsidR="008624E5" w:rsidRDefault="0022063B" w:rsidP="008624E5">
      <w:pPr>
        <w:spacing w:after="0" w:line="240" w:lineRule="auto"/>
        <w:jc w:val="both"/>
        <w:rPr>
          <w:sz w:val="24"/>
          <w:szCs w:val="24"/>
        </w:rPr>
      </w:pPr>
      <w:hyperlink r:id="rId8" w:history="1">
        <w:r w:rsidR="008624E5" w:rsidRPr="008624E5">
          <w:rPr>
            <w:sz w:val="24"/>
            <w:szCs w:val="24"/>
          </w:rPr>
          <w:t>https://www.defensordelpueblo.es/wp-content/uploads/2023/03/Informe-anual-Anexos-A-Estadistica-Completa.pdf</w:t>
        </w:r>
      </w:hyperlink>
    </w:p>
    <w:p w:rsidR="008624E5" w:rsidRDefault="008624E5" w:rsidP="008624E5">
      <w:pPr>
        <w:pBdr>
          <w:bottom w:val="single" w:sz="6" w:space="1" w:color="auto"/>
        </w:pBdr>
        <w:spacing w:after="0" w:line="240" w:lineRule="auto"/>
        <w:jc w:val="both"/>
        <w:rPr>
          <w:sz w:val="24"/>
          <w:szCs w:val="24"/>
        </w:rPr>
      </w:pPr>
    </w:p>
    <w:p w:rsidR="00BB3700" w:rsidRPr="008624E5" w:rsidRDefault="00BB3700" w:rsidP="008624E5">
      <w:pPr>
        <w:pBdr>
          <w:bottom w:val="single" w:sz="6" w:space="1" w:color="auto"/>
        </w:pBdr>
        <w:spacing w:after="0" w:line="240" w:lineRule="auto"/>
        <w:jc w:val="both"/>
        <w:rPr>
          <w:sz w:val="24"/>
          <w:szCs w:val="24"/>
        </w:rPr>
      </w:pPr>
    </w:p>
    <w:p w:rsidR="00B33D10" w:rsidRDefault="00B33D10" w:rsidP="00D7081B">
      <w:pPr>
        <w:spacing w:after="0" w:line="240" w:lineRule="auto"/>
        <w:jc w:val="both"/>
        <w:rPr>
          <w:sz w:val="24"/>
          <w:szCs w:val="24"/>
        </w:rPr>
      </w:pPr>
    </w:p>
    <w:p w:rsidR="00BB3700" w:rsidRDefault="00BB3700" w:rsidP="00D7081B">
      <w:pPr>
        <w:spacing w:after="0" w:line="240" w:lineRule="auto"/>
        <w:jc w:val="both"/>
        <w:rPr>
          <w:sz w:val="24"/>
          <w:szCs w:val="24"/>
        </w:rPr>
      </w:pPr>
    </w:p>
    <w:p w:rsidR="00D7081B" w:rsidRDefault="00D7081B" w:rsidP="00D7081B">
      <w:pPr>
        <w:spacing w:after="0" w:line="240" w:lineRule="auto"/>
        <w:jc w:val="both"/>
        <w:rPr>
          <w:b/>
          <w:sz w:val="24"/>
          <w:szCs w:val="24"/>
        </w:rPr>
      </w:pPr>
      <w:r>
        <w:rPr>
          <w:sz w:val="24"/>
          <w:szCs w:val="24"/>
        </w:rPr>
        <w:t xml:space="preserve">2) En relación con la </w:t>
      </w:r>
      <w:r>
        <w:rPr>
          <w:b/>
          <w:sz w:val="24"/>
          <w:szCs w:val="24"/>
        </w:rPr>
        <w:t xml:space="preserve">Administración penitenciaria, </w:t>
      </w:r>
      <w:r w:rsidRPr="00BB3700">
        <w:rPr>
          <w:b/>
          <w:sz w:val="24"/>
          <w:szCs w:val="24"/>
        </w:rPr>
        <w:t>véase</w:t>
      </w:r>
      <w:r w:rsidR="00672A32">
        <w:rPr>
          <w:b/>
          <w:sz w:val="24"/>
          <w:szCs w:val="24"/>
          <w:u w:val="single"/>
        </w:rPr>
        <w:t xml:space="preserve"> Anexo</w:t>
      </w:r>
      <w:r w:rsidR="00BB3700">
        <w:rPr>
          <w:b/>
          <w:sz w:val="24"/>
          <w:szCs w:val="24"/>
          <w:u w:val="single"/>
        </w:rPr>
        <w:t xml:space="preserve">.” Datos estadísticos relativos a instituciones penitenciarias” </w:t>
      </w:r>
      <w:r w:rsidR="00BB3700" w:rsidRPr="00BB3700">
        <w:rPr>
          <w:b/>
          <w:sz w:val="24"/>
          <w:szCs w:val="24"/>
        </w:rPr>
        <w:t>que se</w:t>
      </w:r>
      <w:r w:rsidR="00EA1066" w:rsidRPr="00BB3700">
        <w:rPr>
          <w:b/>
          <w:sz w:val="24"/>
          <w:szCs w:val="24"/>
        </w:rPr>
        <w:t xml:space="preserve"> </w:t>
      </w:r>
      <w:r w:rsidR="00B33D10" w:rsidRPr="00BB3700">
        <w:rPr>
          <w:b/>
          <w:sz w:val="24"/>
          <w:szCs w:val="24"/>
        </w:rPr>
        <w:t xml:space="preserve">adjunta </w:t>
      </w:r>
      <w:r w:rsidRPr="00BB3700">
        <w:rPr>
          <w:b/>
          <w:sz w:val="24"/>
          <w:szCs w:val="24"/>
        </w:rPr>
        <w:t>a este</w:t>
      </w:r>
      <w:r>
        <w:rPr>
          <w:b/>
          <w:sz w:val="24"/>
          <w:szCs w:val="24"/>
        </w:rPr>
        <w:t xml:space="preserve"> documento en la que se detallan actuaciones sobre las que se ha solicitado información:</w:t>
      </w:r>
    </w:p>
    <w:p w:rsidR="00D7081B" w:rsidRPr="00D7081B" w:rsidRDefault="00D7081B" w:rsidP="00D7081B">
      <w:pPr>
        <w:spacing w:after="0" w:line="240" w:lineRule="auto"/>
        <w:jc w:val="both"/>
        <w:rPr>
          <w:b/>
          <w:sz w:val="24"/>
          <w:szCs w:val="24"/>
        </w:rPr>
      </w:pPr>
    </w:p>
    <w:p w:rsidR="00D7081B" w:rsidRPr="00D7081B" w:rsidRDefault="00D7081B" w:rsidP="00D7081B">
      <w:pPr>
        <w:spacing w:after="0" w:line="240" w:lineRule="auto"/>
        <w:ind w:left="708"/>
        <w:jc w:val="both"/>
        <w:rPr>
          <w:sz w:val="24"/>
          <w:szCs w:val="24"/>
        </w:rPr>
      </w:pPr>
      <w:r w:rsidRPr="00D7081B">
        <w:rPr>
          <w:sz w:val="24"/>
          <w:szCs w:val="24"/>
        </w:rPr>
        <w:t xml:space="preserve">1. </w:t>
      </w:r>
      <w:r w:rsidRPr="00D7081B">
        <w:rPr>
          <w:b/>
          <w:sz w:val="24"/>
          <w:szCs w:val="24"/>
        </w:rPr>
        <w:t xml:space="preserve">Enfermedades contagiosas. COVID 19 </w:t>
      </w:r>
      <w:r w:rsidRPr="00D7081B">
        <w:rPr>
          <w:sz w:val="24"/>
          <w:szCs w:val="24"/>
        </w:rPr>
        <w:t xml:space="preserve">en centros penitenciarios en España (incidencia en población penitenciaria y funcionarios). </w:t>
      </w:r>
    </w:p>
    <w:p w:rsidR="00D7081B" w:rsidRPr="00D7081B" w:rsidRDefault="00D7081B" w:rsidP="00D7081B">
      <w:pPr>
        <w:spacing w:after="0" w:line="240" w:lineRule="auto"/>
        <w:ind w:left="708"/>
        <w:jc w:val="both"/>
        <w:rPr>
          <w:sz w:val="24"/>
          <w:szCs w:val="24"/>
        </w:rPr>
      </w:pPr>
    </w:p>
    <w:p w:rsidR="00D7081B" w:rsidRPr="00D7081B" w:rsidRDefault="00D7081B" w:rsidP="00D7081B">
      <w:pPr>
        <w:spacing w:after="0" w:line="240" w:lineRule="auto"/>
        <w:ind w:left="708"/>
        <w:jc w:val="both"/>
        <w:rPr>
          <w:sz w:val="24"/>
          <w:szCs w:val="24"/>
        </w:rPr>
      </w:pPr>
      <w:r w:rsidRPr="00D7081B">
        <w:rPr>
          <w:sz w:val="24"/>
          <w:szCs w:val="24"/>
        </w:rPr>
        <w:t xml:space="preserve">2. </w:t>
      </w:r>
      <w:r w:rsidRPr="00D7081B">
        <w:rPr>
          <w:b/>
          <w:sz w:val="24"/>
          <w:szCs w:val="24"/>
        </w:rPr>
        <w:t>Mujer y Prisión: Centro Penitenciario de Ávila. Protocolo Prevención suicidios perspectiva de género en prisión</w:t>
      </w:r>
      <w:r w:rsidRPr="00D7081B">
        <w:rPr>
          <w:sz w:val="24"/>
          <w:szCs w:val="24"/>
        </w:rPr>
        <w:t xml:space="preserve">. </w:t>
      </w:r>
    </w:p>
    <w:p w:rsidR="00D7081B" w:rsidRPr="00D7081B" w:rsidRDefault="00D7081B" w:rsidP="00D7081B">
      <w:pPr>
        <w:spacing w:after="0" w:line="240" w:lineRule="auto"/>
        <w:ind w:left="708"/>
        <w:jc w:val="both"/>
        <w:rPr>
          <w:sz w:val="24"/>
          <w:szCs w:val="24"/>
        </w:rPr>
      </w:pPr>
    </w:p>
    <w:p w:rsidR="00D7081B" w:rsidRDefault="00D7081B" w:rsidP="00D7081B">
      <w:pPr>
        <w:spacing w:after="0" w:line="240" w:lineRule="auto"/>
        <w:ind w:left="708"/>
        <w:jc w:val="both"/>
        <w:rPr>
          <w:sz w:val="24"/>
          <w:szCs w:val="24"/>
        </w:rPr>
      </w:pPr>
      <w:r w:rsidRPr="00D7081B">
        <w:rPr>
          <w:sz w:val="24"/>
          <w:szCs w:val="24"/>
        </w:rPr>
        <w:t xml:space="preserve">3. </w:t>
      </w:r>
      <w:r w:rsidRPr="00D7081B">
        <w:rPr>
          <w:b/>
          <w:sz w:val="24"/>
          <w:szCs w:val="24"/>
        </w:rPr>
        <w:t>Medidas de Aislamiento y modalidades de Régimen Cerrado</w:t>
      </w:r>
      <w:r w:rsidRPr="00D7081B">
        <w:rPr>
          <w:sz w:val="24"/>
          <w:szCs w:val="24"/>
        </w:rPr>
        <w:t xml:space="preserve">. </w:t>
      </w:r>
    </w:p>
    <w:p w:rsidR="00D7081B" w:rsidRDefault="00D7081B" w:rsidP="00D7081B">
      <w:pPr>
        <w:spacing w:after="0" w:line="240" w:lineRule="auto"/>
        <w:ind w:left="708"/>
        <w:jc w:val="both"/>
        <w:rPr>
          <w:sz w:val="24"/>
          <w:szCs w:val="24"/>
        </w:rPr>
      </w:pPr>
    </w:p>
    <w:p w:rsidR="00D7081B" w:rsidRPr="00D7081B" w:rsidRDefault="00672A32" w:rsidP="00D7081B">
      <w:pPr>
        <w:spacing w:after="0" w:line="240" w:lineRule="auto"/>
        <w:ind w:left="708"/>
        <w:jc w:val="both"/>
        <w:rPr>
          <w:sz w:val="24"/>
          <w:szCs w:val="24"/>
        </w:rPr>
      </w:pPr>
      <w:r>
        <w:rPr>
          <w:sz w:val="24"/>
          <w:szCs w:val="24"/>
        </w:rPr>
        <w:t>4</w:t>
      </w:r>
      <w:r w:rsidR="00D7081B">
        <w:rPr>
          <w:sz w:val="24"/>
          <w:szCs w:val="24"/>
        </w:rPr>
        <w:t xml:space="preserve">. </w:t>
      </w:r>
      <w:r w:rsidR="00D7081B" w:rsidRPr="00D7081B">
        <w:rPr>
          <w:b/>
          <w:sz w:val="24"/>
          <w:szCs w:val="24"/>
        </w:rPr>
        <w:t>Reseñas legales</w:t>
      </w:r>
      <w:r w:rsidR="00D7081B" w:rsidRPr="00D7081B">
        <w:rPr>
          <w:sz w:val="24"/>
          <w:szCs w:val="24"/>
        </w:rPr>
        <w:t xml:space="preserve">: </w:t>
      </w:r>
    </w:p>
    <w:p w:rsidR="00D7081B" w:rsidRPr="00D7081B" w:rsidRDefault="00D7081B" w:rsidP="00D7081B">
      <w:pPr>
        <w:spacing w:after="0" w:line="240" w:lineRule="auto"/>
        <w:jc w:val="both"/>
        <w:rPr>
          <w:sz w:val="24"/>
          <w:szCs w:val="24"/>
        </w:rPr>
      </w:pPr>
    </w:p>
    <w:p w:rsidR="00D7081B" w:rsidRDefault="00EA1066" w:rsidP="00D7081B">
      <w:pPr>
        <w:spacing w:after="0" w:line="240" w:lineRule="auto"/>
        <w:jc w:val="both"/>
        <w:rPr>
          <w:sz w:val="24"/>
          <w:szCs w:val="24"/>
        </w:rPr>
      </w:pPr>
      <w:r>
        <w:rPr>
          <w:sz w:val="24"/>
          <w:szCs w:val="24"/>
        </w:rPr>
        <w:t>• Sobre ú</w:t>
      </w:r>
      <w:r w:rsidR="00D7081B" w:rsidRPr="00D7081B">
        <w:rPr>
          <w:sz w:val="24"/>
          <w:szCs w:val="24"/>
        </w:rPr>
        <w:t xml:space="preserve">ltimas publicaciones en el avance en las medidas recogidas en </w:t>
      </w:r>
      <w:r w:rsidR="00D265C3">
        <w:rPr>
          <w:sz w:val="24"/>
          <w:szCs w:val="24"/>
        </w:rPr>
        <w:t xml:space="preserve">el </w:t>
      </w:r>
      <w:r w:rsidR="00D7081B" w:rsidRPr="00D7081B">
        <w:rPr>
          <w:sz w:val="24"/>
          <w:szCs w:val="24"/>
        </w:rPr>
        <w:t xml:space="preserve">Protocolo de Estambul en relación con la investigación de casos de </w:t>
      </w:r>
      <w:r w:rsidR="00D7081B">
        <w:rPr>
          <w:sz w:val="24"/>
          <w:szCs w:val="24"/>
        </w:rPr>
        <w:t>tortura</w:t>
      </w:r>
      <w:r w:rsidR="00D265C3">
        <w:rPr>
          <w:sz w:val="24"/>
          <w:szCs w:val="24"/>
        </w:rPr>
        <w:t>, puede consultarse</w:t>
      </w:r>
      <w:r w:rsidR="00D7081B">
        <w:rPr>
          <w:sz w:val="24"/>
          <w:szCs w:val="24"/>
        </w:rPr>
        <w:t xml:space="preserve">: </w:t>
      </w:r>
    </w:p>
    <w:p w:rsidR="00D7081B" w:rsidRDefault="00D7081B" w:rsidP="00D7081B">
      <w:pPr>
        <w:spacing w:after="0" w:line="240" w:lineRule="auto"/>
        <w:jc w:val="both"/>
        <w:rPr>
          <w:sz w:val="24"/>
          <w:szCs w:val="24"/>
        </w:rPr>
      </w:pPr>
    </w:p>
    <w:p w:rsidR="00D7081B" w:rsidRDefault="00D7081B" w:rsidP="00D7081B">
      <w:pPr>
        <w:pStyle w:val="Prrafodelista"/>
        <w:numPr>
          <w:ilvl w:val="0"/>
          <w:numId w:val="15"/>
        </w:numPr>
        <w:spacing w:after="0" w:line="240" w:lineRule="auto"/>
        <w:jc w:val="both"/>
        <w:rPr>
          <w:sz w:val="24"/>
          <w:szCs w:val="24"/>
        </w:rPr>
      </w:pPr>
      <w:r w:rsidRPr="00D7081B">
        <w:rPr>
          <w:sz w:val="24"/>
          <w:szCs w:val="24"/>
        </w:rPr>
        <w:t xml:space="preserve">Real Decreto 650/2023, de 18 de julio, por el que se aprueba el Protocolo de reconocimiento médico forense a la persona detenida </w:t>
      </w:r>
      <w:hyperlink r:id="rId9" w:history="1">
        <w:r w:rsidR="00B33D10" w:rsidRPr="007F34D1">
          <w:rPr>
            <w:rStyle w:val="Hipervnculo"/>
            <w:sz w:val="24"/>
            <w:szCs w:val="24"/>
          </w:rPr>
          <w:t>https://www.boe.es/eli/es/rd/2023/07/18/650</w:t>
        </w:r>
      </w:hyperlink>
      <w:r w:rsidRPr="00D7081B">
        <w:rPr>
          <w:sz w:val="24"/>
          <w:szCs w:val="24"/>
        </w:rPr>
        <w:t xml:space="preserve"> </w:t>
      </w:r>
    </w:p>
    <w:p w:rsidR="00B33D10" w:rsidRPr="00D7081B" w:rsidRDefault="00B33D10" w:rsidP="00B33D10">
      <w:pPr>
        <w:pStyle w:val="Prrafodelista"/>
        <w:spacing w:after="0" w:line="240" w:lineRule="auto"/>
        <w:jc w:val="both"/>
        <w:rPr>
          <w:sz w:val="24"/>
          <w:szCs w:val="24"/>
        </w:rPr>
      </w:pPr>
    </w:p>
    <w:p w:rsidR="00D7081B" w:rsidRPr="00D7081B" w:rsidRDefault="00D7081B" w:rsidP="00D7081B">
      <w:pPr>
        <w:spacing w:after="0" w:line="240" w:lineRule="auto"/>
        <w:jc w:val="both"/>
        <w:rPr>
          <w:sz w:val="24"/>
          <w:szCs w:val="24"/>
        </w:rPr>
      </w:pPr>
    </w:p>
    <w:p w:rsidR="00D7081B" w:rsidRPr="00D7081B" w:rsidRDefault="00D7081B" w:rsidP="00D7081B">
      <w:pPr>
        <w:spacing w:after="0" w:line="240" w:lineRule="auto"/>
        <w:jc w:val="both"/>
        <w:rPr>
          <w:sz w:val="24"/>
          <w:szCs w:val="24"/>
        </w:rPr>
      </w:pPr>
      <w:r w:rsidRPr="00D7081B">
        <w:rPr>
          <w:sz w:val="24"/>
          <w:szCs w:val="24"/>
        </w:rPr>
        <w:t>• Sobre implementación en la legislación penal española de los tipos penales relativos a la lucha contra el terrorismo y la radicalización mencionados en el Protocolo de Riga</w:t>
      </w:r>
      <w:r w:rsidR="00D265C3">
        <w:rPr>
          <w:sz w:val="24"/>
          <w:szCs w:val="24"/>
        </w:rPr>
        <w:t>, puede consultarse</w:t>
      </w:r>
      <w:r w:rsidRPr="00D7081B">
        <w:rPr>
          <w:sz w:val="24"/>
          <w:szCs w:val="24"/>
        </w:rPr>
        <w:t xml:space="preserve">: </w:t>
      </w:r>
    </w:p>
    <w:p w:rsidR="00D7081B" w:rsidRPr="00D7081B" w:rsidRDefault="00D7081B" w:rsidP="00D7081B">
      <w:pPr>
        <w:spacing w:after="0" w:line="240" w:lineRule="auto"/>
        <w:jc w:val="both"/>
        <w:rPr>
          <w:sz w:val="24"/>
          <w:szCs w:val="24"/>
        </w:rPr>
      </w:pPr>
    </w:p>
    <w:p w:rsidR="00D7081B" w:rsidRDefault="00D7081B" w:rsidP="00D7081B">
      <w:pPr>
        <w:pStyle w:val="Prrafodelista"/>
        <w:numPr>
          <w:ilvl w:val="0"/>
          <w:numId w:val="15"/>
        </w:numPr>
        <w:spacing w:after="0" w:line="240" w:lineRule="auto"/>
        <w:jc w:val="both"/>
        <w:rPr>
          <w:sz w:val="24"/>
          <w:szCs w:val="24"/>
        </w:rPr>
      </w:pPr>
      <w:r w:rsidRPr="00D7081B">
        <w:rPr>
          <w:sz w:val="24"/>
          <w:szCs w:val="24"/>
        </w:rPr>
        <w:t xml:space="preserve">Ley Orgánica 2/2015, de 30 de marzo y Ley Orgánica 1/2019 de 21 de febrero de reforma del Código Penal de trasposición de la Directiva de la Unión Europea 2017/541 de 15 de marzo de 2017 por lo que se tipifican determinadas </w:t>
      </w:r>
      <w:r w:rsidR="00B33D10" w:rsidRPr="00D7081B">
        <w:rPr>
          <w:sz w:val="24"/>
          <w:szCs w:val="24"/>
        </w:rPr>
        <w:t>conductas</w:t>
      </w:r>
      <w:r w:rsidRPr="00D7081B">
        <w:rPr>
          <w:sz w:val="24"/>
          <w:szCs w:val="24"/>
        </w:rPr>
        <w:t xml:space="preserve"> relativas a radicalización y terrorismo en relación a: </w:t>
      </w:r>
    </w:p>
    <w:p w:rsidR="00D7081B" w:rsidRDefault="00D7081B" w:rsidP="00D7081B">
      <w:pPr>
        <w:pStyle w:val="Prrafodelista"/>
        <w:numPr>
          <w:ilvl w:val="1"/>
          <w:numId w:val="15"/>
        </w:numPr>
        <w:spacing w:after="0" w:line="240" w:lineRule="auto"/>
        <w:jc w:val="both"/>
        <w:rPr>
          <w:sz w:val="24"/>
          <w:szCs w:val="24"/>
        </w:rPr>
      </w:pPr>
      <w:r w:rsidRPr="00D7081B">
        <w:rPr>
          <w:sz w:val="24"/>
          <w:szCs w:val="24"/>
        </w:rPr>
        <w:t xml:space="preserve">viaje con fines terroristas </w:t>
      </w:r>
    </w:p>
    <w:p w:rsidR="00D7081B" w:rsidRDefault="00D7081B" w:rsidP="00D7081B">
      <w:pPr>
        <w:pStyle w:val="Prrafodelista"/>
        <w:numPr>
          <w:ilvl w:val="1"/>
          <w:numId w:val="15"/>
        </w:numPr>
        <w:spacing w:after="0" w:line="240" w:lineRule="auto"/>
        <w:jc w:val="both"/>
        <w:rPr>
          <w:sz w:val="24"/>
          <w:szCs w:val="24"/>
        </w:rPr>
      </w:pPr>
      <w:r w:rsidRPr="00D7081B">
        <w:rPr>
          <w:sz w:val="24"/>
          <w:szCs w:val="24"/>
        </w:rPr>
        <w:t xml:space="preserve">entrenamiento para terrorismo, adoctrinamiento y el adiestramiento </w:t>
      </w:r>
      <w:r>
        <w:rPr>
          <w:sz w:val="24"/>
          <w:szCs w:val="24"/>
        </w:rPr>
        <w:t>7</w:t>
      </w:r>
    </w:p>
    <w:p w:rsidR="00D7081B" w:rsidRDefault="00D7081B" w:rsidP="00D7081B">
      <w:pPr>
        <w:pStyle w:val="Prrafodelista"/>
        <w:numPr>
          <w:ilvl w:val="1"/>
          <w:numId w:val="15"/>
        </w:numPr>
        <w:spacing w:after="0" w:line="240" w:lineRule="auto"/>
        <w:jc w:val="both"/>
        <w:rPr>
          <w:sz w:val="24"/>
          <w:szCs w:val="24"/>
        </w:rPr>
      </w:pPr>
      <w:r w:rsidRPr="00D7081B">
        <w:rPr>
          <w:sz w:val="24"/>
          <w:szCs w:val="24"/>
        </w:rPr>
        <w:t>captación y reclutamiento al servicio de org</w:t>
      </w:r>
      <w:r>
        <w:rPr>
          <w:sz w:val="24"/>
          <w:szCs w:val="24"/>
        </w:rPr>
        <w:t>anizaciones o fines terroristas</w:t>
      </w:r>
    </w:p>
    <w:p w:rsidR="00D7081B" w:rsidRPr="00D7081B" w:rsidRDefault="00D7081B" w:rsidP="00D7081B">
      <w:pPr>
        <w:pStyle w:val="Prrafodelista"/>
        <w:numPr>
          <w:ilvl w:val="1"/>
          <w:numId w:val="15"/>
        </w:numPr>
        <w:spacing w:after="0" w:line="240" w:lineRule="auto"/>
        <w:jc w:val="both"/>
        <w:rPr>
          <w:sz w:val="24"/>
          <w:szCs w:val="24"/>
        </w:rPr>
      </w:pPr>
      <w:r w:rsidRPr="00D7081B">
        <w:rPr>
          <w:sz w:val="24"/>
          <w:szCs w:val="24"/>
        </w:rPr>
        <w:t xml:space="preserve">combatientes extranjeros </w:t>
      </w:r>
    </w:p>
    <w:p w:rsidR="00D7081B" w:rsidRPr="00D7081B" w:rsidRDefault="00D7081B" w:rsidP="00D7081B">
      <w:pPr>
        <w:spacing w:after="0" w:line="240" w:lineRule="auto"/>
        <w:jc w:val="both"/>
        <w:rPr>
          <w:sz w:val="24"/>
          <w:szCs w:val="24"/>
        </w:rPr>
      </w:pPr>
    </w:p>
    <w:p w:rsidR="00B33D10" w:rsidRDefault="00672A32" w:rsidP="00D7081B">
      <w:pPr>
        <w:spacing w:after="0" w:line="240" w:lineRule="auto"/>
        <w:ind w:left="708"/>
        <w:jc w:val="both"/>
        <w:rPr>
          <w:sz w:val="24"/>
          <w:szCs w:val="24"/>
        </w:rPr>
      </w:pPr>
      <w:hyperlink r:id="rId10" w:history="1">
        <w:r w:rsidR="00B33D10" w:rsidRPr="007F34D1">
          <w:rPr>
            <w:rStyle w:val="Hipervnculo"/>
            <w:sz w:val="24"/>
            <w:szCs w:val="24"/>
          </w:rPr>
          <w:t>https://www.boe.es/eli/es/lo/2015/03/30/2</w:t>
        </w:r>
      </w:hyperlink>
    </w:p>
    <w:p w:rsidR="00D7081B" w:rsidRDefault="00672A32" w:rsidP="00D7081B">
      <w:pPr>
        <w:spacing w:after="0" w:line="240" w:lineRule="auto"/>
        <w:ind w:left="708"/>
        <w:jc w:val="both"/>
        <w:rPr>
          <w:sz w:val="24"/>
          <w:szCs w:val="24"/>
        </w:rPr>
      </w:pPr>
      <w:hyperlink r:id="rId11" w:history="1">
        <w:r w:rsidR="00B33D10" w:rsidRPr="007F34D1">
          <w:rPr>
            <w:rStyle w:val="Hipervnculo"/>
            <w:sz w:val="24"/>
            <w:szCs w:val="24"/>
          </w:rPr>
          <w:t>https://www.boe.es/eli/es/lo/2019/02/20/1</w:t>
        </w:r>
      </w:hyperlink>
    </w:p>
    <w:p w:rsidR="00D7081B" w:rsidRDefault="00D7081B" w:rsidP="007A6E9B">
      <w:pPr>
        <w:pBdr>
          <w:bottom w:val="single" w:sz="6" w:space="1" w:color="auto"/>
        </w:pBdr>
        <w:spacing w:after="0" w:line="240" w:lineRule="auto"/>
        <w:jc w:val="both"/>
        <w:rPr>
          <w:sz w:val="24"/>
          <w:szCs w:val="24"/>
        </w:rPr>
      </w:pPr>
    </w:p>
    <w:p w:rsidR="00BB3700" w:rsidRDefault="00BB3700" w:rsidP="007A6E9B">
      <w:pPr>
        <w:pBdr>
          <w:bottom w:val="single" w:sz="6" w:space="1" w:color="auto"/>
        </w:pBdr>
        <w:spacing w:after="0" w:line="240" w:lineRule="auto"/>
        <w:jc w:val="both"/>
        <w:rPr>
          <w:sz w:val="24"/>
          <w:szCs w:val="24"/>
        </w:rPr>
      </w:pPr>
    </w:p>
    <w:p w:rsidR="00D7081B" w:rsidRDefault="00D7081B" w:rsidP="007A6E9B">
      <w:pPr>
        <w:spacing w:after="0" w:line="240" w:lineRule="auto"/>
        <w:jc w:val="both"/>
        <w:rPr>
          <w:sz w:val="24"/>
          <w:szCs w:val="24"/>
        </w:rPr>
      </w:pPr>
    </w:p>
    <w:p w:rsidR="00BB3700" w:rsidRDefault="00BB3700" w:rsidP="007A6E9B">
      <w:pPr>
        <w:spacing w:after="0" w:line="240" w:lineRule="auto"/>
        <w:jc w:val="both"/>
        <w:rPr>
          <w:sz w:val="24"/>
          <w:szCs w:val="24"/>
        </w:rPr>
      </w:pPr>
    </w:p>
    <w:p w:rsidR="00E045AB" w:rsidRPr="007A6E9B" w:rsidRDefault="00EA1066" w:rsidP="007A6E9B">
      <w:pPr>
        <w:spacing w:after="0" w:line="240" w:lineRule="auto"/>
        <w:jc w:val="both"/>
        <w:rPr>
          <w:sz w:val="24"/>
          <w:szCs w:val="24"/>
        </w:rPr>
      </w:pPr>
      <w:r>
        <w:rPr>
          <w:sz w:val="24"/>
          <w:szCs w:val="24"/>
        </w:rPr>
        <w:t>3</w:t>
      </w:r>
      <w:r w:rsidR="008624E5">
        <w:rPr>
          <w:sz w:val="24"/>
          <w:szCs w:val="24"/>
        </w:rPr>
        <w:t xml:space="preserve">) </w:t>
      </w:r>
      <w:r w:rsidR="007A6E9B" w:rsidRPr="007A6E9B">
        <w:rPr>
          <w:sz w:val="24"/>
          <w:szCs w:val="24"/>
        </w:rPr>
        <w:t xml:space="preserve">En relación con el </w:t>
      </w:r>
      <w:r w:rsidR="007A6E9B" w:rsidRPr="007A6E9B">
        <w:rPr>
          <w:b/>
          <w:sz w:val="24"/>
          <w:szCs w:val="24"/>
        </w:rPr>
        <w:t>t</w:t>
      </w:r>
      <w:r w:rsidR="00E045AB" w:rsidRPr="007A6E9B">
        <w:rPr>
          <w:b/>
          <w:sz w:val="24"/>
          <w:szCs w:val="24"/>
        </w:rPr>
        <w:t>ratamiento de mujeres embarazadas en Centros de detención de extranjeros (</w:t>
      </w:r>
      <w:proofErr w:type="spellStart"/>
      <w:r w:rsidR="00E045AB" w:rsidRPr="007A6E9B">
        <w:rPr>
          <w:b/>
          <w:sz w:val="24"/>
          <w:szCs w:val="24"/>
        </w:rPr>
        <w:t>CIEs</w:t>
      </w:r>
      <w:proofErr w:type="spellEnd"/>
      <w:r w:rsidR="00E045AB" w:rsidRPr="007A6E9B">
        <w:rPr>
          <w:b/>
          <w:sz w:val="24"/>
          <w:szCs w:val="24"/>
        </w:rPr>
        <w:t>)</w:t>
      </w:r>
      <w:r w:rsidR="007A6E9B" w:rsidRPr="007A6E9B">
        <w:rPr>
          <w:sz w:val="24"/>
          <w:szCs w:val="24"/>
        </w:rPr>
        <w:t>, l</w:t>
      </w:r>
      <w:r w:rsidR="00E045AB" w:rsidRPr="007A6E9B">
        <w:rPr>
          <w:sz w:val="24"/>
          <w:szCs w:val="24"/>
        </w:rPr>
        <w:t>a especialidad en el tratamiento de</w:t>
      </w:r>
      <w:r w:rsidR="007A6E9B" w:rsidRPr="007A6E9B">
        <w:rPr>
          <w:sz w:val="24"/>
          <w:szCs w:val="24"/>
        </w:rPr>
        <w:t xml:space="preserve"> las mujeres embarazadas viene </w:t>
      </w:r>
      <w:r w:rsidR="00E045AB" w:rsidRPr="007A6E9B">
        <w:rPr>
          <w:sz w:val="24"/>
          <w:szCs w:val="24"/>
        </w:rPr>
        <w:t>expresamente regulada en el Real Decreto 162/2014, de 14 de marzo, por el que se aprueba el reglamento de funcionamiento y régimen interior de los centros de internamiento de extranjeros.</w:t>
      </w:r>
    </w:p>
    <w:p w:rsidR="007A6E9B" w:rsidRPr="007A6E9B" w:rsidRDefault="007A6E9B" w:rsidP="007A6E9B">
      <w:pPr>
        <w:spacing w:after="0" w:line="240" w:lineRule="auto"/>
        <w:jc w:val="both"/>
        <w:rPr>
          <w:sz w:val="24"/>
          <w:szCs w:val="24"/>
        </w:rPr>
      </w:pPr>
    </w:p>
    <w:p w:rsidR="007A6E9B" w:rsidRPr="007A6E9B" w:rsidRDefault="00D265C3" w:rsidP="007A6E9B">
      <w:pPr>
        <w:spacing w:after="0" w:line="240" w:lineRule="auto"/>
        <w:jc w:val="both"/>
        <w:textAlignment w:val="baseline"/>
        <w:rPr>
          <w:sz w:val="24"/>
          <w:szCs w:val="24"/>
        </w:rPr>
      </w:pPr>
      <w:r>
        <w:rPr>
          <w:sz w:val="24"/>
          <w:szCs w:val="24"/>
        </w:rPr>
        <w:t xml:space="preserve">En concreto, </w:t>
      </w:r>
      <w:r w:rsidR="00E045AB" w:rsidRPr="007A6E9B">
        <w:rPr>
          <w:sz w:val="24"/>
          <w:szCs w:val="24"/>
        </w:rPr>
        <w:t>el apartado 4 del artículo 1 de dicho Reglamento establece que “El principio de proporcionalidad en los medios utilizados y objetivos perseguidos, el de intervención menos restrictiva y el de atención especializada a personas vulnerables regirán, entre otros, la gestión de los centros. A estos efectos se entenderán por personas vulnerables menores, personas discapacitadas, ancianos, mujeres embarazadas, padres solos con hijos menores y personas que hayan padecido tortura, violación u otras formas graves de violencia psicológica, física o sexual.”</w:t>
      </w:r>
    </w:p>
    <w:p w:rsidR="007A6E9B" w:rsidRPr="007A6E9B" w:rsidRDefault="007A6E9B" w:rsidP="007A6E9B">
      <w:pPr>
        <w:spacing w:after="0" w:line="240" w:lineRule="auto"/>
        <w:jc w:val="both"/>
        <w:textAlignment w:val="baseline"/>
        <w:rPr>
          <w:sz w:val="24"/>
          <w:szCs w:val="24"/>
        </w:rPr>
      </w:pPr>
    </w:p>
    <w:p w:rsidR="00E045AB" w:rsidRPr="007A6E9B" w:rsidRDefault="00BB3700" w:rsidP="007A6E9B">
      <w:pPr>
        <w:spacing w:after="0" w:line="240" w:lineRule="auto"/>
        <w:jc w:val="both"/>
        <w:textAlignment w:val="baseline"/>
        <w:rPr>
          <w:sz w:val="24"/>
          <w:szCs w:val="24"/>
        </w:rPr>
      </w:pPr>
      <w:r w:rsidRPr="007A6E9B">
        <w:rPr>
          <w:sz w:val="24"/>
          <w:szCs w:val="24"/>
        </w:rPr>
        <w:t>Igualmente,</w:t>
      </w:r>
      <w:r w:rsidR="00E045AB" w:rsidRPr="007A6E9B">
        <w:rPr>
          <w:sz w:val="24"/>
          <w:szCs w:val="24"/>
        </w:rPr>
        <w:t xml:space="preserve"> el apartado 2 del artículo 16 dispone que “(…)</w:t>
      </w:r>
      <w:r>
        <w:rPr>
          <w:sz w:val="24"/>
          <w:szCs w:val="24"/>
        </w:rPr>
        <w:t xml:space="preserve"> </w:t>
      </w:r>
      <w:r w:rsidR="00E045AB" w:rsidRPr="007A6E9B">
        <w:rPr>
          <w:sz w:val="24"/>
          <w:szCs w:val="24"/>
        </w:rPr>
        <w:t>se garantizan a los extranjeros internados, desde su ingreso y durante el tiempo de permanencia en el centro, los siguientes derechos: (…) f) a recibir un seguimiento médico especial, para las mujeres de las que se tenga constancia que se hallan embarazada”.</w:t>
      </w:r>
    </w:p>
    <w:p w:rsidR="007A6E9B" w:rsidRPr="007A6E9B" w:rsidRDefault="007A6E9B" w:rsidP="007A6E9B">
      <w:pPr>
        <w:spacing w:after="0" w:line="240" w:lineRule="auto"/>
        <w:jc w:val="both"/>
        <w:textAlignment w:val="baseline"/>
        <w:rPr>
          <w:sz w:val="24"/>
          <w:szCs w:val="24"/>
        </w:rPr>
      </w:pPr>
    </w:p>
    <w:p w:rsidR="00E045AB" w:rsidRPr="007A6E9B" w:rsidRDefault="00E045AB" w:rsidP="007A6E9B">
      <w:pPr>
        <w:spacing w:after="0" w:line="240" w:lineRule="auto"/>
        <w:jc w:val="both"/>
        <w:textAlignment w:val="baseline"/>
        <w:rPr>
          <w:sz w:val="24"/>
          <w:szCs w:val="24"/>
        </w:rPr>
      </w:pPr>
      <w:r w:rsidRPr="007A6E9B">
        <w:rPr>
          <w:sz w:val="24"/>
          <w:szCs w:val="24"/>
        </w:rPr>
        <w:t>Independientemente del trato especializado que se concede a una mujer embaraza</w:t>
      </w:r>
      <w:r w:rsidR="007A6E9B" w:rsidRPr="007A6E9B">
        <w:rPr>
          <w:sz w:val="24"/>
          <w:szCs w:val="24"/>
        </w:rPr>
        <w:t>da</w:t>
      </w:r>
      <w:r w:rsidRPr="007A6E9B">
        <w:rPr>
          <w:sz w:val="24"/>
          <w:szCs w:val="24"/>
        </w:rPr>
        <w:t xml:space="preserve"> ingresada en un Centro de Internamiento</w:t>
      </w:r>
      <w:r w:rsidR="00D265C3">
        <w:rPr>
          <w:sz w:val="24"/>
          <w:szCs w:val="24"/>
        </w:rPr>
        <w:t xml:space="preserve">, </w:t>
      </w:r>
      <w:r w:rsidRPr="007A6E9B">
        <w:rPr>
          <w:sz w:val="24"/>
          <w:szCs w:val="24"/>
        </w:rPr>
        <w:t>es d</w:t>
      </w:r>
      <w:r w:rsidR="007A6E9B" w:rsidRPr="007A6E9B">
        <w:rPr>
          <w:sz w:val="24"/>
          <w:szCs w:val="24"/>
        </w:rPr>
        <w:t>e</w:t>
      </w:r>
      <w:r w:rsidRPr="007A6E9B">
        <w:rPr>
          <w:sz w:val="24"/>
          <w:szCs w:val="24"/>
        </w:rPr>
        <w:t xml:space="preserve"> especial consideración la previsión dada por el segundo párrafo del apartado 4 del artículo 58 de la Ley Orgánica 4/2000, de 11 de enero</w:t>
      </w:r>
      <w:r w:rsidR="00D265C3">
        <w:rPr>
          <w:sz w:val="24"/>
          <w:szCs w:val="24"/>
        </w:rPr>
        <w:t>,</w:t>
      </w:r>
      <w:r w:rsidRPr="007A6E9B">
        <w:rPr>
          <w:sz w:val="24"/>
          <w:szCs w:val="24"/>
        </w:rPr>
        <w:t xml:space="preserve"> que dispone que “tampoco podrán ser devueltas las mujeres embarazadas cuando la medida pueda suponer un riesgo para la gestación o para la salud de la madre”. </w:t>
      </w:r>
    </w:p>
    <w:p w:rsidR="007A6E9B" w:rsidRPr="007A6E9B" w:rsidRDefault="007A6E9B" w:rsidP="007A6E9B">
      <w:pPr>
        <w:spacing w:after="0" w:line="240" w:lineRule="auto"/>
        <w:jc w:val="both"/>
        <w:textAlignment w:val="baseline"/>
        <w:rPr>
          <w:sz w:val="24"/>
          <w:szCs w:val="24"/>
        </w:rPr>
      </w:pPr>
    </w:p>
    <w:p w:rsidR="00E045AB" w:rsidRPr="007A6E9B" w:rsidRDefault="00E045AB" w:rsidP="007A6E9B">
      <w:pPr>
        <w:spacing w:after="0" w:line="240" w:lineRule="auto"/>
        <w:jc w:val="both"/>
        <w:textAlignment w:val="baseline"/>
        <w:rPr>
          <w:sz w:val="24"/>
          <w:szCs w:val="24"/>
        </w:rPr>
      </w:pPr>
      <w:r w:rsidRPr="007A6E9B">
        <w:rPr>
          <w:sz w:val="24"/>
          <w:szCs w:val="24"/>
        </w:rPr>
        <w:t xml:space="preserve">A </w:t>
      </w:r>
      <w:r w:rsidR="00D265C3">
        <w:rPr>
          <w:sz w:val="24"/>
          <w:szCs w:val="24"/>
        </w:rPr>
        <w:t>efectos prácticos, dicha valoración del riesgo</w:t>
      </w:r>
      <w:r w:rsidRPr="007A6E9B">
        <w:rPr>
          <w:sz w:val="24"/>
          <w:szCs w:val="24"/>
        </w:rPr>
        <w:t xml:space="preserve"> implica que, operativamente, toda mujer embarazada que arriba a costas españolas de manera irregular, una vez realizado el oportuno </w:t>
      </w:r>
      <w:proofErr w:type="spellStart"/>
      <w:r w:rsidRPr="007A6E9B">
        <w:rPr>
          <w:sz w:val="24"/>
          <w:szCs w:val="24"/>
        </w:rPr>
        <w:t>triaje</w:t>
      </w:r>
      <w:proofErr w:type="spellEnd"/>
      <w:r w:rsidRPr="007A6E9B">
        <w:rPr>
          <w:sz w:val="24"/>
          <w:szCs w:val="24"/>
        </w:rPr>
        <w:t xml:space="preserve"> y asistencia sanitaria no va resultar ingresada ni en un Centro de Atención Temporal de Extranjeros, ni en Centro de Internamiento de Extranjeros, siendo derivada, en régimen de libertad a los mecanismos de acogida.</w:t>
      </w:r>
    </w:p>
    <w:p w:rsidR="00E045AB" w:rsidRPr="007A6E9B" w:rsidRDefault="00E045AB" w:rsidP="007A6E9B">
      <w:pPr>
        <w:spacing w:after="0" w:line="240" w:lineRule="auto"/>
        <w:jc w:val="both"/>
        <w:rPr>
          <w:sz w:val="24"/>
          <w:szCs w:val="24"/>
        </w:rPr>
      </w:pPr>
    </w:p>
    <w:p w:rsidR="00E045AB" w:rsidRPr="007A6E9B" w:rsidRDefault="00E045AB" w:rsidP="007A6E9B">
      <w:pPr>
        <w:pBdr>
          <w:bottom w:val="single" w:sz="6" w:space="1" w:color="auto"/>
        </w:pBdr>
        <w:spacing w:after="0" w:line="240" w:lineRule="auto"/>
        <w:jc w:val="both"/>
        <w:rPr>
          <w:sz w:val="24"/>
          <w:szCs w:val="24"/>
        </w:rPr>
      </w:pPr>
    </w:p>
    <w:p w:rsidR="007A6E9B" w:rsidRDefault="007A6E9B" w:rsidP="007A6E9B">
      <w:pPr>
        <w:spacing w:after="0" w:line="240" w:lineRule="auto"/>
        <w:jc w:val="both"/>
        <w:rPr>
          <w:sz w:val="24"/>
          <w:szCs w:val="24"/>
        </w:rPr>
      </w:pPr>
    </w:p>
    <w:p w:rsidR="00BB3700" w:rsidRPr="007A6E9B" w:rsidRDefault="00BB3700" w:rsidP="007A6E9B">
      <w:pPr>
        <w:spacing w:after="0" w:line="240" w:lineRule="auto"/>
        <w:jc w:val="both"/>
        <w:rPr>
          <w:sz w:val="24"/>
          <w:szCs w:val="24"/>
        </w:rPr>
      </w:pPr>
    </w:p>
    <w:p w:rsidR="00DB7526" w:rsidRPr="00DB7526" w:rsidRDefault="00DB7526" w:rsidP="00DB7526">
      <w:pPr>
        <w:spacing w:after="0" w:line="240" w:lineRule="auto"/>
        <w:jc w:val="both"/>
        <w:rPr>
          <w:sz w:val="24"/>
          <w:szCs w:val="24"/>
        </w:rPr>
      </w:pPr>
      <w:r>
        <w:rPr>
          <w:sz w:val="24"/>
          <w:szCs w:val="24"/>
        </w:rPr>
        <w:t>4</w:t>
      </w:r>
      <w:r w:rsidR="008624E5">
        <w:rPr>
          <w:sz w:val="24"/>
          <w:szCs w:val="24"/>
        </w:rPr>
        <w:t xml:space="preserve">) </w:t>
      </w:r>
      <w:r>
        <w:rPr>
          <w:sz w:val="24"/>
          <w:szCs w:val="24"/>
        </w:rPr>
        <w:t>En relación con la</w:t>
      </w:r>
      <w:r w:rsidRPr="00DB7526">
        <w:rPr>
          <w:b/>
          <w:sz w:val="24"/>
          <w:szCs w:val="24"/>
        </w:rPr>
        <w:t xml:space="preserve"> investigación por el uso de la fuerza en 2017 en Cataluña</w:t>
      </w:r>
      <w:r>
        <w:rPr>
          <w:sz w:val="24"/>
          <w:szCs w:val="24"/>
        </w:rPr>
        <w:t>, l</w:t>
      </w:r>
      <w:r w:rsidRPr="00DB7526">
        <w:rPr>
          <w:sz w:val="24"/>
          <w:szCs w:val="24"/>
        </w:rPr>
        <w:t>a actuación de las Fuerzas y Cuerpos de Seguridad del Estado se circunscribió al cumplimiento de un mandato judicial por el que se les ordenaba impedir un referéndum ilegal, previamente anulado por el Tribunal Constitucional.</w:t>
      </w:r>
    </w:p>
    <w:p w:rsidR="00DB7526" w:rsidRDefault="00DB7526" w:rsidP="00DB7526">
      <w:pPr>
        <w:spacing w:after="0" w:line="240" w:lineRule="auto"/>
        <w:jc w:val="both"/>
        <w:textAlignment w:val="baseline"/>
        <w:rPr>
          <w:sz w:val="24"/>
          <w:szCs w:val="24"/>
        </w:rPr>
      </w:pPr>
      <w:r w:rsidRPr="00DB7526">
        <w:rPr>
          <w:sz w:val="24"/>
          <w:szCs w:val="24"/>
        </w:rPr>
        <w:br/>
        <w:t>Sobre estos hechos, a día de hoy, está conociendo la autoridad judicial. Su futuro pronunciamiento, en el ejercicio de la potestad jurisdiccional, será de obligado respeto como una de las más importantes garantías para el funcionamiento y desarrollo del Estado de Derecho como lo es España.</w:t>
      </w:r>
    </w:p>
    <w:p w:rsidR="007A6E9B" w:rsidRPr="007A6E9B" w:rsidRDefault="007A6E9B" w:rsidP="00DB7526">
      <w:pPr>
        <w:spacing w:after="0" w:line="240" w:lineRule="auto"/>
        <w:jc w:val="both"/>
        <w:rPr>
          <w:kern w:val="2"/>
          <w:sz w:val="24"/>
          <w:szCs w:val="24"/>
          <w14:ligatures w14:val="standardContextual"/>
        </w:rPr>
      </w:pPr>
    </w:p>
    <w:p w:rsidR="00E045AB" w:rsidRPr="007A6E9B" w:rsidRDefault="00E045AB" w:rsidP="00DB7526">
      <w:pPr>
        <w:spacing w:after="0" w:line="240" w:lineRule="auto"/>
        <w:jc w:val="both"/>
        <w:rPr>
          <w:kern w:val="2"/>
          <w:sz w:val="24"/>
          <w:szCs w:val="24"/>
          <w14:ligatures w14:val="standardContextual"/>
        </w:rPr>
      </w:pPr>
      <w:r w:rsidRPr="007A6E9B">
        <w:rPr>
          <w:kern w:val="2"/>
          <w:sz w:val="24"/>
          <w:szCs w:val="24"/>
          <w14:ligatures w14:val="standardContextual"/>
        </w:rPr>
        <w:t>El Tribunal Europeo de Derechos Humanos ha considerado que la suspensión de actos del parlamento catalán para dar validez al referéndum ilegal por el Tribunal Constitucional era "necesaria en una sociedad democrática", en particular para el mantenimiento de la seguridad pública, la defensa del orden y la protección de los derechos y libertades de los demás (decisión TEDH  7 de mayo de 2019 Demanda no 75147/17 Maria Carme FORCADELL i LLUIS y otros v.)</w:t>
      </w:r>
    </w:p>
    <w:p w:rsidR="00DC1BC7" w:rsidRDefault="00DC1BC7" w:rsidP="007A6E9B">
      <w:pPr>
        <w:pBdr>
          <w:bottom w:val="single" w:sz="6" w:space="1" w:color="auto"/>
        </w:pBdr>
        <w:spacing w:after="0" w:line="240" w:lineRule="auto"/>
        <w:jc w:val="both"/>
        <w:rPr>
          <w:kern w:val="2"/>
          <w:sz w:val="24"/>
          <w:szCs w:val="24"/>
          <w14:ligatures w14:val="standardContextual"/>
        </w:rPr>
      </w:pPr>
    </w:p>
    <w:p w:rsidR="00BB3700" w:rsidRPr="007A6E9B" w:rsidRDefault="00BB3700" w:rsidP="007A6E9B">
      <w:pPr>
        <w:pBdr>
          <w:bottom w:val="single" w:sz="6" w:space="1" w:color="auto"/>
        </w:pBdr>
        <w:spacing w:after="0" w:line="240" w:lineRule="auto"/>
        <w:jc w:val="both"/>
        <w:rPr>
          <w:kern w:val="2"/>
          <w:sz w:val="24"/>
          <w:szCs w:val="24"/>
          <w14:ligatures w14:val="standardContextual"/>
        </w:rPr>
      </w:pPr>
    </w:p>
    <w:p w:rsidR="007A6E9B" w:rsidRDefault="007A6E9B" w:rsidP="007A6E9B">
      <w:pPr>
        <w:spacing w:after="0" w:line="240" w:lineRule="auto"/>
        <w:jc w:val="both"/>
        <w:rPr>
          <w:kern w:val="2"/>
          <w:sz w:val="24"/>
          <w:szCs w:val="24"/>
          <w14:ligatures w14:val="standardContextual"/>
        </w:rPr>
      </w:pPr>
    </w:p>
    <w:p w:rsidR="00BB3700" w:rsidRPr="007A6E9B" w:rsidRDefault="00BB3700" w:rsidP="007A6E9B">
      <w:pPr>
        <w:spacing w:after="0" w:line="240" w:lineRule="auto"/>
        <w:jc w:val="both"/>
        <w:rPr>
          <w:kern w:val="2"/>
          <w:sz w:val="24"/>
          <w:szCs w:val="24"/>
          <w14:ligatures w14:val="standardContextual"/>
        </w:rPr>
      </w:pPr>
    </w:p>
    <w:p w:rsidR="00E045AB" w:rsidRPr="007A6E9B" w:rsidRDefault="002E60CF" w:rsidP="007A6E9B">
      <w:pPr>
        <w:spacing w:after="0" w:line="240" w:lineRule="auto"/>
        <w:jc w:val="both"/>
        <w:rPr>
          <w:kern w:val="2"/>
          <w:sz w:val="24"/>
          <w:szCs w:val="24"/>
          <w14:ligatures w14:val="standardContextual"/>
        </w:rPr>
      </w:pPr>
      <w:r>
        <w:rPr>
          <w:kern w:val="2"/>
          <w:sz w:val="24"/>
          <w:szCs w:val="24"/>
          <w14:ligatures w14:val="standardContextual"/>
        </w:rPr>
        <w:t>5</w:t>
      </w:r>
      <w:r w:rsidR="008624E5">
        <w:rPr>
          <w:kern w:val="2"/>
          <w:sz w:val="24"/>
          <w:szCs w:val="24"/>
          <w14:ligatures w14:val="standardContextual"/>
        </w:rPr>
        <w:t xml:space="preserve">) </w:t>
      </w:r>
      <w:r w:rsidR="00E045AB" w:rsidRPr="007A6E9B">
        <w:rPr>
          <w:b/>
          <w:kern w:val="2"/>
          <w:sz w:val="24"/>
          <w:szCs w:val="24"/>
          <w14:ligatures w14:val="standardContextual"/>
        </w:rPr>
        <w:t>Reglamentación referida durante la exposición en relación con las Fuerzas y Cuerpos de Seguridad</w:t>
      </w:r>
      <w:r w:rsidR="00E045AB" w:rsidRPr="007A6E9B">
        <w:rPr>
          <w:kern w:val="2"/>
          <w:sz w:val="24"/>
          <w:szCs w:val="24"/>
          <w14:ligatures w14:val="standardContextual"/>
        </w:rPr>
        <w:t>:</w:t>
      </w:r>
    </w:p>
    <w:p w:rsidR="007A6E9B" w:rsidRPr="00BB3700" w:rsidRDefault="007A6E9B" w:rsidP="007A6E9B">
      <w:pPr>
        <w:spacing w:after="0" w:line="240" w:lineRule="auto"/>
        <w:jc w:val="both"/>
        <w:rPr>
          <w:color w:val="171717" w:themeColor="background2" w:themeShade="1A"/>
          <w:kern w:val="2"/>
          <w:sz w:val="24"/>
          <w:szCs w:val="24"/>
          <w14:ligatures w14:val="standardContextual"/>
        </w:rPr>
      </w:pPr>
    </w:p>
    <w:p w:rsidR="00E045AB" w:rsidRPr="00BB3700" w:rsidRDefault="00E045AB" w:rsidP="007A6E9B">
      <w:pPr>
        <w:numPr>
          <w:ilvl w:val="0"/>
          <w:numId w:val="8"/>
        </w:numPr>
        <w:spacing w:after="0" w:line="240" w:lineRule="auto"/>
        <w:rPr>
          <w:rStyle w:val="Hipervnculo"/>
          <w:rFonts w:eastAsia="Times New Roman"/>
          <w:color w:val="194983"/>
          <w:sz w:val="24"/>
          <w:szCs w:val="24"/>
          <w:u w:val="none"/>
        </w:rPr>
      </w:pPr>
      <w:r w:rsidRPr="00BB3700">
        <w:rPr>
          <w:rFonts w:ascii="Calibri" w:eastAsia="Times New Roman" w:hAnsi="Calibri" w:cs="Calibri"/>
          <w:color w:val="171717" w:themeColor="background2" w:themeShade="1A"/>
          <w:sz w:val="24"/>
          <w:szCs w:val="24"/>
        </w:rPr>
        <w:t xml:space="preserve">Estrategia Nacional Contra el Terrorismo: </w:t>
      </w:r>
      <w:hyperlink r:id="rId12" w:history="1">
        <w:r w:rsidRPr="007A6E9B">
          <w:rPr>
            <w:rStyle w:val="Hipervnculo"/>
            <w:rFonts w:ascii="Calibri" w:eastAsia="Times New Roman" w:hAnsi="Calibri" w:cs="Calibri"/>
            <w:color w:val="194983"/>
            <w:sz w:val="24"/>
            <w:szCs w:val="24"/>
          </w:rPr>
          <w:t>https://www.boe.es/eli/es/o/2019/02/22/pci179</w:t>
        </w:r>
      </w:hyperlink>
    </w:p>
    <w:p w:rsidR="00E045AB" w:rsidRPr="007A6E9B" w:rsidRDefault="00E045AB" w:rsidP="007A6E9B">
      <w:pPr>
        <w:spacing w:after="0" w:line="240" w:lineRule="auto"/>
        <w:rPr>
          <w:sz w:val="24"/>
          <w:szCs w:val="24"/>
        </w:rPr>
      </w:pPr>
      <w:r w:rsidRPr="007A6E9B">
        <w:rPr>
          <w:rFonts w:ascii="Calibri" w:hAnsi="Calibri" w:cs="Calibri"/>
          <w:color w:val="194983"/>
          <w:sz w:val="24"/>
          <w:szCs w:val="24"/>
        </w:rPr>
        <w:t> </w:t>
      </w:r>
    </w:p>
    <w:p w:rsidR="00E045AB" w:rsidRPr="007A6E9B" w:rsidRDefault="00E045AB" w:rsidP="007A6E9B">
      <w:pPr>
        <w:numPr>
          <w:ilvl w:val="0"/>
          <w:numId w:val="8"/>
        </w:numPr>
        <w:spacing w:after="0" w:line="240" w:lineRule="auto"/>
        <w:rPr>
          <w:rFonts w:eastAsia="Times New Roman"/>
          <w:color w:val="194983"/>
          <w:sz w:val="24"/>
          <w:szCs w:val="24"/>
        </w:rPr>
      </w:pPr>
      <w:r w:rsidRPr="00BB3700">
        <w:rPr>
          <w:rFonts w:ascii="Calibri" w:eastAsia="Times New Roman" w:hAnsi="Calibri" w:cs="Calibri"/>
          <w:color w:val="171717" w:themeColor="background2" w:themeShade="1A"/>
          <w:sz w:val="24"/>
          <w:szCs w:val="24"/>
        </w:rPr>
        <w:t xml:space="preserve">Centro Universitario de Formación de la Policía Nacional: </w:t>
      </w:r>
      <w:hyperlink r:id="rId13" w:history="1">
        <w:r w:rsidRPr="007A6E9B">
          <w:rPr>
            <w:rStyle w:val="Hipervnculo"/>
            <w:rFonts w:ascii="Calibri" w:eastAsia="Times New Roman" w:hAnsi="Calibri" w:cs="Calibri"/>
            <w:color w:val="194983"/>
            <w:sz w:val="24"/>
            <w:szCs w:val="24"/>
          </w:rPr>
          <w:t>https://www.boe.es/eli/es/rd/2022/08/01/666</w:t>
        </w:r>
      </w:hyperlink>
    </w:p>
    <w:p w:rsidR="00E045AB" w:rsidRPr="007A6E9B" w:rsidRDefault="00E045AB" w:rsidP="007A6E9B">
      <w:pPr>
        <w:spacing w:after="0" w:line="240" w:lineRule="auto"/>
        <w:rPr>
          <w:sz w:val="24"/>
          <w:szCs w:val="24"/>
        </w:rPr>
      </w:pPr>
      <w:r w:rsidRPr="007A6E9B">
        <w:rPr>
          <w:rFonts w:ascii="Calibri" w:hAnsi="Calibri" w:cs="Calibri"/>
          <w:color w:val="194983"/>
          <w:sz w:val="24"/>
          <w:szCs w:val="24"/>
        </w:rPr>
        <w:t> </w:t>
      </w:r>
    </w:p>
    <w:p w:rsidR="00E045AB" w:rsidRPr="007A6E9B" w:rsidRDefault="00E045AB" w:rsidP="007A6E9B">
      <w:pPr>
        <w:numPr>
          <w:ilvl w:val="0"/>
          <w:numId w:val="8"/>
        </w:numPr>
        <w:spacing w:after="0" w:line="240" w:lineRule="auto"/>
        <w:rPr>
          <w:rFonts w:eastAsia="Times New Roman"/>
          <w:color w:val="194983"/>
          <w:sz w:val="24"/>
          <w:szCs w:val="24"/>
        </w:rPr>
      </w:pPr>
      <w:r w:rsidRPr="00BB3700">
        <w:rPr>
          <w:rFonts w:ascii="Calibri" w:eastAsia="Times New Roman" w:hAnsi="Calibri" w:cs="Calibri"/>
          <w:color w:val="171717" w:themeColor="background2" w:themeShade="1A"/>
          <w:sz w:val="24"/>
          <w:szCs w:val="24"/>
        </w:rPr>
        <w:t xml:space="preserve">Orden 949/2007 del Ministerio del Interior, creación del formulario de quejas y sugerencias: </w:t>
      </w:r>
      <w:hyperlink r:id="rId14" w:history="1">
        <w:r w:rsidRPr="007A6E9B">
          <w:rPr>
            <w:rStyle w:val="Hipervnculo"/>
            <w:rFonts w:ascii="Calibri" w:eastAsia="Times New Roman" w:hAnsi="Calibri" w:cs="Calibri"/>
            <w:color w:val="194983"/>
            <w:sz w:val="24"/>
            <w:szCs w:val="24"/>
          </w:rPr>
          <w:t>https://www.boe.es/eli/es/o/2007/03/30/int949</w:t>
        </w:r>
      </w:hyperlink>
    </w:p>
    <w:p w:rsidR="00E045AB" w:rsidRPr="007A6E9B" w:rsidRDefault="00E045AB" w:rsidP="007A6E9B">
      <w:pPr>
        <w:spacing w:after="0" w:line="240" w:lineRule="auto"/>
        <w:rPr>
          <w:sz w:val="24"/>
          <w:szCs w:val="24"/>
        </w:rPr>
      </w:pPr>
      <w:r w:rsidRPr="007A6E9B">
        <w:rPr>
          <w:rFonts w:ascii="Calibri" w:hAnsi="Calibri" w:cs="Calibri"/>
          <w:color w:val="194983"/>
          <w:sz w:val="24"/>
          <w:szCs w:val="24"/>
        </w:rPr>
        <w:t> </w:t>
      </w:r>
    </w:p>
    <w:p w:rsidR="00E045AB" w:rsidRPr="007A6E9B" w:rsidRDefault="00E045AB" w:rsidP="007A6E9B">
      <w:pPr>
        <w:numPr>
          <w:ilvl w:val="0"/>
          <w:numId w:val="8"/>
        </w:numPr>
        <w:spacing w:after="0" w:line="240" w:lineRule="auto"/>
        <w:rPr>
          <w:rFonts w:eastAsia="Times New Roman"/>
          <w:color w:val="194983"/>
          <w:sz w:val="24"/>
          <w:szCs w:val="24"/>
        </w:rPr>
      </w:pPr>
      <w:r w:rsidRPr="00BB3700">
        <w:rPr>
          <w:rFonts w:ascii="Calibri" w:eastAsia="Times New Roman" w:hAnsi="Calibri" w:cs="Calibri"/>
          <w:color w:val="171717" w:themeColor="background2" w:themeShade="1A"/>
          <w:sz w:val="24"/>
          <w:szCs w:val="24"/>
        </w:rPr>
        <w:t xml:space="preserve">Instrucción 12/2007 Secretaría de Estado de Seguridad, para garantizar los derechos de las personas detenidas o bajo custodia policial: </w:t>
      </w:r>
      <w:hyperlink r:id="rId15" w:history="1">
        <w:r w:rsidRPr="007A6E9B">
          <w:rPr>
            <w:rStyle w:val="Hipervnculo"/>
            <w:rFonts w:ascii="Calibri" w:eastAsia="Times New Roman" w:hAnsi="Calibri" w:cs="Calibri"/>
            <w:color w:val="194983"/>
            <w:sz w:val="24"/>
            <w:szCs w:val="24"/>
          </w:rPr>
          <w:t>https://www.defensordelpueblo.es/wp-content/uploads/2016/03/Instruccion_12_2007.pdf</w:t>
        </w:r>
      </w:hyperlink>
    </w:p>
    <w:p w:rsidR="00E045AB" w:rsidRPr="007A6E9B" w:rsidRDefault="00E045AB" w:rsidP="007A6E9B">
      <w:pPr>
        <w:spacing w:after="0" w:line="240" w:lineRule="auto"/>
        <w:rPr>
          <w:sz w:val="24"/>
          <w:szCs w:val="24"/>
        </w:rPr>
      </w:pPr>
      <w:r w:rsidRPr="007A6E9B">
        <w:rPr>
          <w:rFonts w:ascii="Calibri" w:hAnsi="Calibri" w:cs="Calibri"/>
          <w:color w:val="194983"/>
          <w:sz w:val="24"/>
          <w:szCs w:val="24"/>
        </w:rPr>
        <w:t> </w:t>
      </w:r>
    </w:p>
    <w:p w:rsidR="00E045AB" w:rsidRPr="007A6E9B" w:rsidRDefault="00E045AB" w:rsidP="007A6E9B">
      <w:pPr>
        <w:numPr>
          <w:ilvl w:val="0"/>
          <w:numId w:val="8"/>
        </w:numPr>
        <w:spacing w:after="0" w:line="240" w:lineRule="auto"/>
        <w:rPr>
          <w:rFonts w:eastAsia="Times New Roman"/>
          <w:color w:val="194983"/>
          <w:sz w:val="24"/>
          <w:szCs w:val="24"/>
        </w:rPr>
      </w:pPr>
      <w:r w:rsidRPr="00BB3700">
        <w:rPr>
          <w:rFonts w:ascii="Calibri" w:eastAsia="Times New Roman" w:hAnsi="Calibri" w:cs="Calibri"/>
          <w:color w:val="171717" w:themeColor="background2" w:themeShade="1A"/>
          <w:sz w:val="24"/>
          <w:szCs w:val="24"/>
        </w:rPr>
        <w:t xml:space="preserve">Instrucción 4/2018, Secretaría de Estado de Seguridad, protocolo en áreas de custodias de detenidos: </w:t>
      </w:r>
      <w:hyperlink r:id="rId16" w:history="1">
        <w:r w:rsidRPr="007A6E9B">
          <w:rPr>
            <w:rStyle w:val="Hipervnculo"/>
            <w:rFonts w:ascii="Calibri" w:eastAsia="Times New Roman" w:hAnsi="Calibri" w:cs="Calibri"/>
            <w:color w:val="194983"/>
            <w:sz w:val="24"/>
            <w:szCs w:val="24"/>
          </w:rPr>
          <w:t>https://www.defensordelpueblo.es/wp-content/uploads/2022/03/INSTRUCCI%C3%93N-N.-42018.pdf</w:t>
        </w:r>
      </w:hyperlink>
    </w:p>
    <w:p w:rsidR="00E045AB" w:rsidRPr="007A6E9B" w:rsidRDefault="00E045AB" w:rsidP="007A6E9B">
      <w:pPr>
        <w:spacing w:after="0" w:line="240" w:lineRule="auto"/>
        <w:rPr>
          <w:sz w:val="24"/>
          <w:szCs w:val="24"/>
        </w:rPr>
      </w:pPr>
      <w:r w:rsidRPr="007A6E9B">
        <w:rPr>
          <w:rFonts w:ascii="Calibri" w:hAnsi="Calibri" w:cs="Calibri"/>
          <w:color w:val="194983"/>
          <w:sz w:val="24"/>
          <w:szCs w:val="24"/>
        </w:rPr>
        <w:t> </w:t>
      </w:r>
    </w:p>
    <w:p w:rsidR="00E045AB" w:rsidRPr="007A6E9B" w:rsidRDefault="00E045AB" w:rsidP="007A6E9B">
      <w:pPr>
        <w:numPr>
          <w:ilvl w:val="0"/>
          <w:numId w:val="8"/>
        </w:numPr>
        <w:spacing w:after="0" w:line="240" w:lineRule="auto"/>
        <w:rPr>
          <w:rFonts w:eastAsia="Times New Roman"/>
          <w:color w:val="194983"/>
          <w:sz w:val="24"/>
          <w:szCs w:val="24"/>
        </w:rPr>
      </w:pPr>
      <w:r w:rsidRPr="00BB3700">
        <w:rPr>
          <w:rFonts w:ascii="Calibri" w:eastAsia="Times New Roman" w:hAnsi="Calibri" w:cs="Calibri"/>
          <w:color w:val="171717" w:themeColor="background2" w:themeShade="1A"/>
          <w:sz w:val="24"/>
          <w:szCs w:val="24"/>
        </w:rPr>
        <w:t xml:space="preserve">Instrucción 1/2022 Secretaría de Estado de Seguridad, creación Oficina Nacional de Garantías de los Derechos Humanos: </w:t>
      </w:r>
      <w:hyperlink r:id="rId17" w:history="1">
        <w:r w:rsidRPr="007A6E9B">
          <w:rPr>
            <w:rStyle w:val="Hipervnculo"/>
            <w:rFonts w:ascii="Calibri" w:eastAsia="Times New Roman" w:hAnsi="Calibri" w:cs="Calibri"/>
            <w:color w:val="194983"/>
            <w:sz w:val="24"/>
            <w:szCs w:val="24"/>
          </w:rPr>
          <w:t>https://www.defensordelpueblo.es/wp-content/uploads/2022/03/Instrucci%C3%B3n-1-2022_SES_ONGADH.pdf</w:t>
        </w:r>
      </w:hyperlink>
    </w:p>
    <w:p w:rsidR="00E045AB" w:rsidRPr="007A6E9B" w:rsidRDefault="00E045AB" w:rsidP="007A6E9B">
      <w:pPr>
        <w:spacing w:after="0" w:line="240" w:lineRule="auto"/>
        <w:rPr>
          <w:sz w:val="24"/>
          <w:szCs w:val="24"/>
        </w:rPr>
      </w:pPr>
      <w:r w:rsidRPr="007A6E9B">
        <w:rPr>
          <w:rFonts w:ascii="Calibri" w:hAnsi="Calibri" w:cs="Calibri"/>
          <w:color w:val="194983"/>
          <w:sz w:val="24"/>
          <w:szCs w:val="24"/>
        </w:rPr>
        <w:t> </w:t>
      </w:r>
    </w:p>
    <w:p w:rsidR="00E045AB" w:rsidRPr="00BB3700" w:rsidRDefault="00E045AB" w:rsidP="007A6E9B">
      <w:pPr>
        <w:numPr>
          <w:ilvl w:val="0"/>
          <w:numId w:val="8"/>
        </w:numPr>
        <w:spacing w:after="0" w:line="240" w:lineRule="auto"/>
        <w:rPr>
          <w:rStyle w:val="Hipervnculo"/>
          <w:rFonts w:eastAsia="Times New Roman"/>
          <w:color w:val="194983"/>
          <w:sz w:val="24"/>
          <w:szCs w:val="24"/>
          <w:u w:val="none"/>
        </w:rPr>
      </w:pPr>
      <w:r w:rsidRPr="00BB3700">
        <w:rPr>
          <w:rFonts w:ascii="Calibri" w:eastAsia="Times New Roman" w:hAnsi="Calibri" w:cs="Calibri"/>
          <w:color w:val="171717" w:themeColor="background2" w:themeShade="1A"/>
          <w:sz w:val="24"/>
          <w:szCs w:val="24"/>
        </w:rPr>
        <w:t xml:space="preserve">Acuerdo del Ministerio del Interior y Federación de Asociaciones de Periodistas de España: </w:t>
      </w:r>
      <w:hyperlink r:id="rId18" w:history="1">
        <w:r w:rsidRPr="007A6E9B">
          <w:rPr>
            <w:rStyle w:val="Hipervnculo"/>
            <w:rFonts w:ascii="Calibri" w:eastAsia="Times New Roman" w:hAnsi="Calibri" w:cs="Calibri"/>
            <w:color w:val="194983"/>
            <w:sz w:val="24"/>
            <w:szCs w:val="24"/>
          </w:rPr>
          <w:t>https://www.boe.es/boe/dias/2021/01/22/pdfs/BOE-A-2021-962.pdf</w:t>
        </w:r>
      </w:hyperlink>
    </w:p>
    <w:p w:rsidR="00BB3700" w:rsidRDefault="00BB3700" w:rsidP="00BB3700">
      <w:pPr>
        <w:pStyle w:val="Prrafodelista"/>
        <w:rPr>
          <w:rFonts w:eastAsia="Times New Roman"/>
          <w:color w:val="194983"/>
          <w:sz w:val="24"/>
          <w:szCs w:val="24"/>
        </w:rPr>
      </w:pPr>
    </w:p>
    <w:p w:rsidR="00E045AB" w:rsidRPr="00BB3700" w:rsidRDefault="00E045AB" w:rsidP="007A6E9B">
      <w:pPr>
        <w:numPr>
          <w:ilvl w:val="0"/>
          <w:numId w:val="8"/>
        </w:numPr>
        <w:spacing w:after="0" w:line="240" w:lineRule="auto"/>
        <w:rPr>
          <w:rFonts w:eastAsia="Times New Roman"/>
          <w:color w:val="171717" w:themeColor="background2" w:themeShade="1A"/>
          <w:sz w:val="24"/>
          <w:szCs w:val="24"/>
        </w:rPr>
      </w:pPr>
      <w:r w:rsidRPr="00BB3700">
        <w:rPr>
          <w:rFonts w:ascii="Calibri" w:eastAsia="Times New Roman" w:hAnsi="Calibri" w:cs="Calibri"/>
          <w:color w:val="171717" w:themeColor="background2" w:themeShade="1A"/>
          <w:sz w:val="24"/>
          <w:szCs w:val="24"/>
        </w:rPr>
        <w:t>Código ético de la Policía Nacional (</w:t>
      </w:r>
      <w:r w:rsidR="00672A32">
        <w:rPr>
          <w:rFonts w:ascii="Calibri" w:eastAsia="Times New Roman" w:hAnsi="Calibri" w:cs="Calibri"/>
          <w:b/>
          <w:color w:val="171717" w:themeColor="background2" w:themeShade="1A"/>
          <w:sz w:val="24"/>
          <w:szCs w:val="24"/>
          <w:u w:val="single"/>
        </w:rPr>
        <w:t>Anexo</w:t>
      </w:r>
      <w:r w:rsidR="00BB3700" w:rsidRPr="0022063B">
        <w:rPr>
          <w:rFonts w:ascii="Calibri" w:eastAsia="Times New Roman" w:hAnsi="Calibri" w:cs="Calibri"/>
          <w:b/>
          <w:color w:val="171717" w:themeColor="background2" w:themeShade="1A"/>
          <w:sz w:val="24"/>
          <w:szCs w:val="24"/>
          <w:u w:val="single"/>
        </w:rPr>
        <w:t>. Código ético Policía Nacional</w:t>
      </w:r>
      <w:r w:rsidR="00BB3700">
        <w:rPr>
          <w:rFonts w:ascii="Calibri" w:eastAsia="Times New Roman" w:hAnsi="Calibri" w:cs="Calibri"/>
          <w:color w:val="171717" w:themeColor="background2" w:themeShade="1A"/>
          <w:sz w:val="24"/>
          <w:szCs w:val="24"/>
        </w:rPr>
        <w:t xml:space="preserve"> </w:t>
      </w:r>
      <w:r w:rsidRPr="00BB3700">
        <w:rPr>
          <w:rFonts w:ascii="Calibri" w:eastAsia="Times New Roman" w:hAnsi="Calibri" w:cs="Calibri"/>
          <w:color w:val="171717" w:themeColor="background2" w:themeShade="1A"/>
          <w:sz w:val="24"/>
          <w:szCs w:val="24"/>
        </w:rPr>
        <w:t>en archivo adjunto).</w:t>
      </w:r>
    </w:p>
    <w:p w:rsidR="00E045AB" w:rsidRPr="007A6E9B" w:rsidRDefault="00E045AB" w:rsidP="007A6E9B">
      <w:pPr>
        <w:pStyle w:val="Prrafodelista"/>
        <w:spacing w:after="0" w:line="240" w:lineRule="auto"/>
        <w:rPr>
          <w:rFonts w:ascii="Calibri" w:eastAsia="Times New Roman" w:hAnsi="Calibri" w:cs="Calibri"/>
          <w:color w:val="194983"/>
          <w:sz w:val="24"/>
          <w:szCs w:val="24"/>
        </w:rPr>
      </w:pPr>
    </w:p>
    <w:p w:rsidR="00E045AB" w:rsidRPr="007A6E9B" w:rsidRDefault="00E045AB" w:rsidP="007A6E9B">
      <w:pPr>
        <w:numPr>
          <w:ilvl w:val="0"/>
          <w:numId w:val="8"/>
        </w:numPr>
        <w:spacing w:after="0" w:line="240" w:lineRule="auto"/>
        <w:rPr>
          <w:rFonts w:eastAsia="Times New Roman"/>
          <w:color w:val="194983"/>
          <w:sz w:val="24"/>
          <w:szCs w:val="24"/>
        </w:rPr>
      </w:pPr>
      <w:r w:rsidRPr="007A6E9B">
        <w:rPr>
          <w:rFonts w:ascii="Calibri" w:eastAsia="Times New Roman" w:hAnsi="Calibri" w:cs="Calibri"/>
          <w:color w:val="194983"/>
          <w:sz w:val="24"/>
          <w:szCs w:val="24"/>
        </w:rPr>
        <w:t xml:space="preserve">Código de Conducta del personal de la Guardia Civil: </w:t>
      </w:r>
      <w:hyperlink r:id="rId19" w:history="1">
        <w:r w:rsidRPr="007A6E9B">
          <w:rPr>
            <w:rStyle w:val="Hipervnculo"/>
            <w:rFonts w:ascii="Calibri" w:eastAsia="Times New Roman" w:hAnsi="Calibri" w:cs="Calibri"/>
            <w:sz w:val="24"/>
            <w:szCs w:val="24"/>
          </w:rPr>
          <w:t>https://www.boe.es/eli/es/rd/2022/03/04/176/con</w:t>
        </w:r>
      </w:hyperlink>
      <w:r w:rsidRPr="007A6E9B">
        <w:rPr>
          <w:rFonts w:ascii="Calibri" w:eastAsia="Times New Roman" w:hAnsi="Calibri" w:cs="Calibri"/>
          <w:sz w:val="24"/>
          <w:szCs w:val="24"/>
        </w:rPr>
        <w:t xml:space="preserve"> </w:t>
      </w:r>
    </w:p>
    <w:p w:rsidR="00E045AB" w:rsidRPr="007A6E9B" w:rsidRDefault="00E045AB" w:rsidP="007A6E9B">
      <w:pPr>
        <w:spacing w:after="0" w:line="240" w:lineRule="auto"/>
        <w:jc w:val="both"/>
        <w:rPr>
          <w:kern w:val="2"/>
          <w:sz w:val="24"/>
          <w:szCs w:val="24"/>
          <w14:ligatures w14:val="standardContextual"/>
        </w:rPr>
      </w:pPr>
    </w:p>
    <w:p w:rsidR="00E045AB" w:rsidRPr="007A6E9B" w:rsidRDefault="00E045AB" w:rsidP="007A6E9B">
      <w:pPr>
        <w:pBdr>
          <w:bottom w:val="single" w:sz="6" w:space="1" w:color="auto"/>
        </w:pBdr>
        <w:spacing w:after="0" w:line="240" w:lineRule="auto"/>
        <w:jc w:val="both"/>
        <w:rPr>
          <w:kern w:val="2"/>
          <w:sz w:val="24"/>
          <w:szCs w:val="24"/>
          <w14:ligatures w14:val="standardContextual"/>
        </w:rPr>
      </w:pPr>
    </w:p>
    <w:p w:rsidR="00E045AB" w:rsidRPr="007A6E9B" w:rsidRDefault="00E045AB" w:rsidP="007A6E9B">
      <w:pPr>
        <w:spacing w:after="0" w:line="240" w:lineRule="auto"/>
        <w:jc w:val="both"/>
        <w:rPr>
          <w:kern w:val="2"/>
          <w:sz w:val="24"/>
          <w:szCs w:val="24"/>
          <w14:ligatures w14:val="standardContextual"/>
        </w:rPr>
      </w:pPr>
    </w:p>
    <w:p w:rsidR="007A6E9B" w:rsidRPr="007A6E9B" w:rsidRDefault="007A6E9B" w:rsidP="007A6E9B">
      <w:pPr>
        <w:spacing w:after="0" w:line="240" w:lineRule="auto"/>
        <w:jc w:val="both"/>
        <w:rPr>
          <w:sz w:val="24"/>
          <w:szCs w:val="24"/>
        </w:rPr>
      </w:pPr>
    </w:p>
    <w:p w:rsidR="007A6E9B" w:rsidRPr="007A6E9B" w:rsidRDefault="002E60CF" w:rsidP="007A6E9B">
      <w:pPr>
        <w:jc w:val="both"/>
        <w:rPr>
          <w:sz w:val="24"/>
          <w:szCs w:val="24"/>
        </w:rPr>
      </w:pPr>
      <w:r>
        <w:rPr>
          <w:sz w:val="24"/>
          <w:szCs w:val="24"/>
        </w:rPr>
        <w:t>6</w:t>
      </w:r>
      <w:r w:rsidR="008624E5">
        <w:rPr>
          <w:sz w:val="24"/>
          <w:szCs w:val="24"/>
        </w:rPr>
        <w:t xml:space="preserve">) </w:t>
      </w:r>
      <w:r w:rsidR="007A6E9B" w:rsidRPr="007A6E9B">
        <w:rPr>
          <w:sz w:val="24"/>
          <w:szCs w:val="24"/>
        </w:rPr>
        <w:t>En relación con la</w:t>
      </w:r>
      <w:r w:rsidR="007A6E9B" w:rsidRPr="007A6E9B">
        <w:rPr>
          <w:b/>
          <w:sz w:val="24"/>
          <w:szCs w:val="24"/>
        </w:rPr>
        <w:t xml:space="preserve"> regulación en el ordenamiento español del proxenetismo y el calendario de tramitación del Anteproyecto de Ley Orgánica integral contra la trata</w:t>
      </w:r>
      <w:r w:rsidR="007A6E9B">
        <w:rPr>
          <w:sz w:val="24"/>
          <w:szCs w:val="24"/>
        </w:rPr>
        <w:t>, e</w:t>
      </w:r>
      <w:r w:rsidR="007A6E9B" w:rsidRPr="007A6E9B">
        <w:rPr>
          <w:sz w:val="24"/>
          <w:szCs w:val="24"/>
        </w:rPr>
        <w:t>n la actualidad se castiga en nuestro Código Penal hasta con 5 años de prisión (artículo 187) a quien determine a una persona mayor de edad a ejercer o mantenerse en la prostitución, empleando violencia o intimidación o abusando de una situación de superioridad o necesidad.</w:t>
      </w:r>
    </w:p>
    <w:p w:rsidR="007A6E9B" w:rsidRPr="007A6E9B" w:rsidRDefault="007A6E9B" w:rsidP="007A6E9B">
      <w:pPr>
        <w:spacing w:after="0" w:line="240" w:lineRule="auto"/>
        <w:jc w:val="both"/>
        <w:rPr>
          <w:sz w:val="24"/>
          <w:szCs w:val="24"/>
        </w:rPr>
      </w:pPr>
      <w:r w:rsidRPr="007A6E9B">
        <w:rPr>
          <w:sz w:val="24"/>
          <w:szCs w:val="24"/>
        </w:rPr>
        <w:t>También se castiga con penas de prisión de hasta 4 años a quien se lucre explotando la prostitución de otra persona, aun con el consentimiento de la misma. Entendiendo que hay explotación cuando concurra alguna de las siguientes circunstancias:</w:t>
      </w:r>
    </w:p>
    <w:p w:rsidR="003E6049" w:rsidRDefault="003E6049"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a) Que la víctima se encuentre en una situación de vulnerabilidad personal o económica.</w:t>
      </w:r>
    </w:p>
    <w:p w:rsidR="007A6E9B" w:rsidRPr="007A6E9B" w:rsidRDefault="007A6E9B" w:rsidP="007A6E9B">
      <w:pPr>
        <w:spacing w:after="0" w:line="240" w:lineRule="auto"/>
        <w:jc w:val="both"/>
        <w:rPr>
          <w:sz w:val="24"/>
          <w:szCs w:val="24"/>
        </w:rPr>
      </w:pPr>
      <w:r w:rsidRPr="007A6E9B">
        <w:rPr>
          <w:sz w:val="24"/>
          <w:szCs w:val="24"/>
        </w:rPr>
        <w:t>b) Que se le impongan para su ejercicio condiciones gravosas, desproporcionadas o abusivas.</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Se sanciona igualmente en nuestro ordenamiento (artículo 188) con penas de hasta 5 años de prisión a quien induzca, promueva, favorezca o facilite la prostitución de un menor de edad o una persona con discapacidad necesitada de especial protección, o se lucre con ello.</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 xml:space="preserve">En el Anteproyecto de Ley Orgánica integral contra la trata y la explotación de seres humanos, al igual que ocurre en muchos países de nuestro entorno (Alemania, Francia, Italia, Reino Unido), la opción político criminal elegida es un modelo integrado que, junto al delito de trata, regula los delitos en que la finalidad de explotación de la trata se concreta: los trabajos o servicios forzosos, la servidumbre y la esclavitud, inexistentes en la regulación actual. </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 xml:space="preserve">Por esta razón, se reestructuraba el título VII bis del Código Penal que lleva la rúbrica “De la trata de seres humanos y de los trabajos o servicios forzosos, servidumbre o a esclavitud” y se divide en tres capítulos. El capítulo I está dedicado a la regulación del </w:t>
      </w:r>
      <w:r w:rsidRPr="007A6E9B">
        <w:rPr>
          <w:sz w:val="24"/>
          <w:szCs w:val="24"/>
        </w:rPr>
        <w:lastRenderedPageBreak/>
        <w:t>delito de trata de seres humanos, el capítulo II incrimina los trabajos o servicios forzosos, servidumbre y esclavitud, y el capítulo III engloba las disposiciones comunes.</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 xml:space="preserve">Conviene resaltar que la premisa básica común de las formas de esclavitud moderna radica en la falta de voluntariedad de la prestación o servicio (por lo que estos nunca tienen la naturaleza jurídica de “trabajo”) y no en la naturaleza del servicio, prestación o tipo de actividad, que pueden ser lícitos o ilícitos, regulados o no. A partir del sustrato común señalado, la gravedad de las actividades humanas forzosas fluctuará en función de la intensidad y el grado de dependencia de la víctima y las esferas de libertad personal restringidas o arrebatadas. </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En este sentido se incluye el artículo 177 ter que castiga a quien, “ejerciendo sobre una persona un poder de disposición o control, y empleando violencia, intimidación o engaño, o abusando de una situación de superioridad o de necesidad o de vulnerabilidad de la víctima, la obligue a realizar cualquier trabajo o servicio, incluyendo prestaciones o actividades de naturaleza sexual, la mendicidad y la realización de actividades delictivas.”</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 xml:space="preserve">También persigue el Anteproyecto desincentivar la demanda de estos de servicios, introduciendo el artículo 177 </w:t>
      </w:r>
      <w:proofErr w:type="spellStart"/>
      <w:r w:rsidRPr="007A6E9B">
        <w:rPr>
          <w:sz w:val="24"/>
          <w:szCs w:val="24"/>
        </w:rPr>
        <w:t>quater</w:t>
      </w:r>
      <w:proofErr w:type="spellEnd"/>
      <w:r w:rsidRPr="007A6E9B">
        <w:rPr>
          <w:sz w:val="24"/>
          <w:szCs w:val="24"/>
        </w:rPr>
        <w:t xml:space="preserve"> que sanciona </w:t>
      </w:r>
      <w:r w:rsidR="00BB3700" w:rsidRPr="007A6E9B">
        <w:rPr>
          <w:sz w:val="24"/>
          <w:szCs w:val="24"/>
        </w:rPr>
        <w:t>a “</w:t>
      </w:r>
      <w:r w:rsidRPr="007A6E9B">
        <w:rPr>
          <w:sz w:val="24"/>
          <w:szCs w:val="24"/>
        </w:rPr>
        <w:t>Quien, sin haber intervenido como autor o partícipe, haga uso de los servicios, prestaciones o actividades de la víctima de cualquiera de las conductas previstas en el artículo 177 ter”.</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Previendo el segundo apartado de este artículo una modalidad imprudente que señala que “En los casos en que el autor de las conductas descritas en el apartado anterior haya actuado con imprudencia grave se le impondrá la pena de prisión de seis meses a dos años y seis meses.”</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 xml:space="preserve">El apartado 3 de este art. 177 </w:t>
      </w:r>
      <w:proofErr w:type="spellStart"/>
      <w:r w:rsidRPr="007A6E9B">
        <w:rPr>
          <w:sz w:val="24"/>
          <w:szCs w:val="24"/>
        </w:rPr>
        <w:t>quater</w:t>
      </w:r>
      <w:proofErr w:type="spellEnd"/>
      <w:r w:rsidRPr="007A6E9B">
        <w:rPr>
          <w:sz w:val="24"/>
          <w:szCs w:val="24"/>
        </w:rPr>
        <w:t xml:space="preserve"> pretende fomentar la colaboración en la denuncia de estas situaciones de explotación, señalando: 3. “Quedará exento de pena quien, habiendo utilizado ocasionalmente los servicios, actividades o prestaciones de una víctima de los delitos previstos en el artículo 177 ter, denunciare el hecho a la autoridad que tenga el deber de proceder a su averiguación antes de la apertura del procedimiento o de las correspondientes diligencias policiales o judiciales.”</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 xml:space="preserve">Por otra parte, se preveía en el anteproyecto el castigo de la tercería locativa, sancionando el artículo 177 </w:t>
      </w:r>
      <w:proofErr w:type="spellStart"/>
      <w:r w:rsidRPr="007A6E9B">
        <w:rPr>
          <w:sz w:val="24"/>
          <w:szCs w:val="24"/>
        </w:rPr>
        <w:t>septies</w:t>
      </w:r>
      <w:proofErr w:type="spellEnd"/>
      <w:r w:rsidRPr="007A6E9B">
        <w:rPr>
          <w:sz w:val="24"/>
          <w:szCs w:val="24"/>
        </w:rPr>
        <w:t xml:space="preserve"> hasta con 4 años de prisión a quien, sin haber intervenido como autor o partícipe, promueva, favorezca o facilite la comisión de los hechos previstos en los artículos 177 bis y 177 ter, mediante el alquiler o puesta a disposición de locales de negocio, establecimientos comerciales o de lugares de alojamiento de las víctimas.</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Respecto de la tramitación de este anteproyecto, la misma quedó suspendida por la disolución de las Cortes con la convocatoria anticipada de elecciones en mayo de este año. Su reanudación y los plazos de tramitación depende</w:t>
      </w:r>
      <w:r w:rsidR="003E6049">
        <w:rPr>
          <w:sz w:val="24"/>
          <w:szCs w:val="24"/>
        </w:rPr>
        <w:t xml:space="preserve">rán </w:t>
      </w:r>
      <w:r w:rsidRPr="007A6E9B">
        <w:rPr>
          <w:sz w:val="24"/>
          <w:szCs w:val="24"/>
        </w:rPr>
        <w:t>de</w:t>
      </w:r>
      <w:r w:rsidR="003E6049">
        <w:rPr>
          <w:sz w:val="24"/>
          <w:szCs w:val="24"/>
        </w:rPr>
        <w:t xml:space="preserve"> </w:t>
      </w:r>
      <w:r w:rsidRPr="007A6E9B">
        <w:rPr>
          <w:sz w:val="24"/>
          <w:szCs w:val="24"/>
        </w:rPr>
        <w:t>l</w:t>
      </w:r>
      <w:r w:rsidR="003E6049">
        <w:rPr>
          <w:sz w:val="24"/>
          <w:szCs w:val="24"/>
        </w:rPr>
        <w:t xml:space="preserve">a </w:t>
      </w:r>
      <w:r w:rsidRPr="007A6E9B">
        <w:rPr>
          <w:sz w:val="24"/>
          <w:szCs w:val="24"/>
        </w:rPr>
        <w:t>formación de gobierno</w:t>
      </w:r>
      <w:r w:rsidR="003E6049">
        <w:rPr>
          <w:sz w:val="24"/>
          <w:szCs w:val="24"/>
        </w:rPr>
        <w:t xml:space="preserve"> celebradas ya las elecciones el domingo 23 de julio</w:t>
      </w:r>
      <w:r w:rsidRPr="007A6E9B">
        <w:rPr>
          <w:sz w:val="24"/>
          <w:szCs w:val="24"/>
        </w:rPr>
        <w:t>.</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lastRenderedPageBreak/>
        <w:t xml:space="preserve">Por último, </w:t>
      </w:r>
      <w:r w:rsidR="003E6049">
        <w:rPr>
          <w:sz w:val="24"/>
          <w:szCs w:val="24"/>
        </w:rPr>
        <w:t xml:space="preserve">conviene </w:t>
      </w:r>
      <w:r w:rsidRPr="007A6E9B">
        <w:rPr>
          <w:sz w:val="24"/>
          <w:szCs w:val="24"/>
        </w:rPr>
        <w:t xml:space="preserve">resaltar que, en el seno de la Unión Europea, en diciembre de 2022, la Comisión Europea presentó para su discusión en el Consejo y en el Parlamento una propuesta de Directiva que pretende reformar parcialmente la Directiva 2011/36/UE relativa a la prevención y lucha contra la trata de seres humanos y a la protección de las víctimas. </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 xml:space="preserve">Una de las modificaciones fundamentales sobre la Directiva de 2011 es la inclusión de un nuevo delito que castigue a quienes, de forma consciente, contratan los servicios de una persona que ha sido víctima de trata. </w:t>
      </w: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r w:rsidRPr="007A6E9B">
        <w:rPr>
          <w:sz w:val="24"/>
          <w:szCs w:val="24"/>
        </w:rPr>
        <w:t xml:space="preserve">En junio de 2023 se ha aprobado una Orientación General, estando previstos los </w:t>
      </w:r>
      <w:proofErr w:type="spellStart"/>
      <w:r w:rsidRPr="007A6E9B">
        <w:rPr>
          <w:sz w:val="24"/>
          <w:szCs w:val="24"/>
        </w:rPr>
        <w:t>trílogos</w:t>
      </w:r>
      <w:proofErr w:type="spellEnd"/>
      <w:r w:rsidRPr="007A6E9B">
        <w:rPr>
          <w:sz w:val="24"/>
          <w:szCs w:val="24"/>
        </w:rPr>
        <w:t xml:space="preserve"> a partir de septiembre de este año. Cuando dicha Directiva se apruebe deberá ser traspuesta a nuestro ordenamiento jurídico.</w:t>
      </w:r>
    </w:p>
    <w:p w:rsidR="007A6E9B" w:rsidRPr="007A6E9B" w:rsidRDefault="007A6E9B" w:rsidP="007A6E9B">
      <w:pPr>
        <w:spacing w:after="0" w:line="240" w:lineRule="auto"/>
        <w:jc w:val="both"/>
        <w:rPr>
          <w:sz w:val="24"/>
          <w:szCs w:val="24"/>
        </w:rPr>
      </w:pPr>
    </w:p>
    <w:p w:rsidR="007A6E9B" w:rsidRPr="007A6E9B" w:rsidRDefault="007A6E9B" w:rsidP="007A6E9B">
      <w:pPr>
        <w:pBdr>
          <w:bottom w:val="single" w:sz="6" w:space="1" w:color="auto"/>
        </w:pBdr>
        <w:spacing w:after="0" w:line="240" w:lineRule="auto"/>
        <w:jc w:val="both"/>
        <w:rPr>
          <w:sz w:val="24"/>
          <w:szCs w:val="24"/>
        </w:rPr>
      </w:pPr>
    </w:p>
    <w:p w:rsidR="007A6E9B" w:rsidRPr="007A6E9B" w:rsidRDefault="007A6E9B" w:rsidP="007A6E9B">
      <w:pPr>
        <w:spacing w:after="0" w:line="240" w:lineRule="auto"/>
        <w:jc w:val="both"/>
        <w:rPr>
          <w:sz w:val="24"/>
          <w:szCs w:val="24"/>
        </w:rPr>
      </w:pPr>
    </w:p>
    <w:p w:rsidR="007A6E9B" w:rsidRPr="007A6E9B" w:rsidRDefault="007A6E9B" w:rsidP="007A6E9B">
      <w:pPr>
        <w:spacing w:after="0" w:line="240" w:lineRule="auto"/>
        <w:jc w:val="both"/>
        <w:rPr>
          <w:sz w:val="24"/>
          <w:szCs w:val="24"/>
        </w:rPr>
      </w:pPr>
    </w:p>
    <w:p w:rsidR="00ED477A" w:rsidRPr="007A6E9B" w:rsidRDefault="002E60CF" w:rsidP="007A6E9B">
      <w:pPr>
        <w:spacing w:after="0" w:line="240" w:lineRule="auto"/>
        <w:jc w:val="both"/>
        <w:rPr>
          <w:sz w:val="24"/>
          <w:szCs w:val="24"/>
        </w:rPr>
      </w:pPr>
      <w:r>
        <w:rPr>
          <w:sz w:val="24"/>
          <w:szCs w:val="24"/>
        </w:rPr>
        <w:t>7</w:t>
      </w:r>
      <w:r w:rsidR="008624E5">
        <w:rPr>
          <w:sz w:val="24"/>
          <w:szCs w:val="24"/>
        </w:rPr>
        <w:t xml:space="preserve">) </w:t>
      </w:r>
      <w:r w:rsidR="00ED477A" w:rsidRPr="007A6E9B">
        <w:rPr>
          <w:sz w:val="24"/>
          <w:szCs w:val="24"/>
        </w:rPr>
        <w:t xml:space="preserve">En relación con los dos </w:t>
      </w:r>
      <w:r w:rsidR="00ED477A" w:rsidRPr="007A6E9B">
        <w:rPr>
          <w:b/>
          <w:sz w:val="24"/>
          <w:szCs w:val="24"/>
        </w:rPr>
        <w:t>informes sobre torturas en el País Vasco y Navarra</w:t>
      </w:r>
      <w:r w:rsidR="00ED477A" w:rsidRPr="007A6E9B">
        <w:rPr>
          <w:sz w:val="24"/>
          <w:szCs w:val="24"/>
        </w:rPr>
        <w:t xml:space="preserve"> desde 1979, de las informaciones recibidas se trata de dos informes que han sido presentados a las autoridades regionales del País Vasco y de Navarra en 2017 y 2023</w:t>
      </w:r>
      <w:r w:rsidR="003E6049">
        <w:rPr>
          <w:sz w:val="24"/>
          <w:szCs w:val="24"/>
        </w:rPr>
        <w:t>,</w:t>
      </w:r>
      <w:r w:rsidR="00ED477A" w:rsidRPr="007A6E9B">
        <w:rPr>
          <w:sz w:val="24"/>
          <w:szCs w:val="24"/>
        </w:rPr>
        <w:t xml:space="preserve"> respectivamente. En este momento no se tiene constancia de las actuaciones realizadas o </w:t>
      </w:r>
      <w:r w:rsidR="003E6049">
        <w:rPr>
          <w:sz w:val="24"/>
          <w:szCs w:val="24"/>
        </w:rPr>
        <w:t xml:space="preserve">solicitadas </w:t>
      </w:r>
      <w:r w:rsidR="00ED477A" w:rsidRPr="007A6E9B">
        <w:rPr>
          <w:sz w:val="24"/>
          <w:szCs w:val="24"/>
        </w:rPr>
        <w:t>por dichas autoridades regionales como c</w:t>
      </w:r>
      <w:r w:rsidR="003E6049">
        <w:rPr>
          <w:sz w:val="24"/>
          <w:szCs w:val="24"/>
        </w:rPr>
        <w:t>onsecuencia de dichos informes. Ú</w:t>
      </w:r>
      <w:r w:rsidR="00ED477A" w:rsidRPr="007A6E9B">
        <w:rPr>
          <w:sz w:val="24"/>
          <w:szCs w:val="24"/>
        </w:rPr>
        <w:t>nicamente se tiene constancia de su recepción por las mismas.</w:t>
      </w:r>
    </w:p>
    <w:p w:rsidR="007A6E9B" w:rsidRPr="007A6E9B" w:rsidRDefault="007A6E9B" w:rsidP="007A6E9B">
      <w:pPr>
        <w:spacing w:after="0" w:line="240" w:lineRule="auto"/>
        <w:jc w:val="both"/>
        <w:rPr>
          <w:sz w:val="24"/>
          <w:szCs w:val="24"/>
        </w:rPr>
      </w:pPr>
    </w:p>
    <w:p w:rsidR="00D755BB" w:rsidRDefault="00ED477A" w:rsidP="007A6E9B">
      <w:pPr>
        <w:spacing w:after="0" w:line="240" w:lineRule="auto"/>
        <w:jc w:val="both"/>
        <w:rPr>
          <w:sz w:val="24"/>
          <w:szCs w:val="24"/>
        </w:rPr>
      </w:pPr>
      <w:r w:rsidRPr="007A6E9B">
        <w:rPr>
          <w:sz w:val="24"/>
          <w:szCs w:val="24"/>
        </w:rPr>
        <w:t xml:space="preserve">En todo caso </w:t>
      </w:r>
      <w:r w:rsidR="003E6049">
        <w:rPr>
          <w:sz w:val="24"/>
          <w:szCs w:val="24"/>
        </w:rPr>
        <w:t xml:space="preserve">conviene destacar </w:t>
      </w:r>
      <w:r w:rsidRPr="007A6E9B">
        <w:rPr>
          <w:sz w:val="24"/>
          <w:szCs w:val="24"/>
        </w:rPr>
        <w:t>que cualquier persona que considere que ha sufrido torturas puede dirigirse a las autoridades judiciales para su investigación y que ésta es la vía legal con todas las garantías constitucionales para su investigación previstas en la legislación española conforme a la Convención contra la tortura y otros tratos o penas crueles, inhumanos o degradantes.</w:t>
      </w:r>
      <w:r w:rsidR="00B474F3" w:rsidRPr="007A6E9B">
        <w:rPr>
          <w:sz w:val="24"/>
          <w:szCs w:val="24"/>
        </w:rPr>
        <w:t xml:space="preserve"> </w:t>
      </w:r>
    </w:p>
    <w:p w:rsidR="00BB3700" w:rsidRDefault="00BB3700" w:rsidP="007A6E9B">
      <w:pPr>
        <w:spacing w:after="0" w:line="240" w:lineRule="auto"/>
        <w:jc w:val="both"/>
        <w:rPr>
          <w:sz w:val="24"/>
          <w:szCs w:val="24"/>
        </w:rPr>
      </w:pPr>
    </w:p>
    <w:p w:rsidR="00BB3700" w:rsidRPr="00672A32" w:rsidRDefault="00BB3700" w:rsidP="007A6E9B">
      <w:pPr>
        <w:spacing w:after="0" w:line="240" w:lineRule="auto"/>
        <w:jc w:val="both"/>
        <w:rPr>
          <w:sz w:val="24"/>
          <w:szCs w:val="24"/>
          <w:u w:val="single"/>
        </w:rPr>
      </w:pPr>
      <w:bookmarkStart w:id="0" w:name="_GoBack"/>
    </w:p>
    <w:p w:rsidR="00BB3700" w:rsidRPr="00672A32" w:rsidRDefault="00BB3700" w:rsidP="007A6E9B">
      <w:pPr>
        <w:spacing w:after="0" w:line="240" w:lineRule="auto"/>
        <w:jc w:val="both"/>
        <w:rPr>
          <w:b/>
          <w:sz w:val="24"/>
          <w:szCs w:val="24"/>
          <w:u w:val="single"/>
        </w:rPr>
      </w:pPr>
      <w:r w:rsidRPr="00672A32">
        <w:rPr>
          <w:b/>
          <w:sz w:val="24"/>
          <w:szCs w:val="24"/>
          <w:u w:val="single"/>
        </w:rPr>
        <w:t xml:space="preserve">Anexo: </w:t>
      </w:r>
    </w:p>
    <w:bookmarkEnd w:id="0"/>
    <w:p w:rsidR="00BB3700" w:rsidRDefault="00BB3700" w:rsidP="007A6E9B">
      <w:pPr>
        <w:spacing w:after="0" w:line="240" w:lineRule="auto"/>
        <w:jc w:val="both"/>
        <w:rPr>
          <w:b/>
          <w:sz w:val="24"/>
          <w:szCs w:val="24"/>
        </w:rPr>
      </w:pPr>
    </w:p>
    <w:p w:rsidR="00BB3700" w:rsidRDefault="007A28BF" w:rsidP="007A6E9B">
      <w:pPr>
        <w:spacing w:after="0" w:line="240" w:lineRule="auto"/>
        <w:jc w:val="both"/>
        <w:rPr>
          <w:b/>
          <w:sz w:val="24"/>
          <w:szCs w:val="24"/>
        </w:rPr>
      </w:pPr>
      <w:r>
        <w:rPr>
          <w:b/>
          <w:sz w:val="24"/>
          <w:szCs w:val="24"/>
        </w:rPr>
        <w:t>Anexo</w:t>
      </w:r>
      <w:r w:rsidR="00BB3700">
        <w:rPr>
          <w:b/>
          <w:sz w:val="24"/>
          <w:szCs w:val="24"/>
        </w:rPr>
        <w:t xml:space="preserve">. </w:t>
      </w:r>
      <w:r w:rsidR="00BB3700" w:rsidRPr="00BB3700">
        <w:rPr>
          <w:b/>
          <w:sz w:val="24"/>
          <w:szCs w:val="24"/>
        </w:rPr>
        <w:t>Datos Estadísticos Temas Penitenciarios_CAT.2023.23julio</w:t>
      </w:r>
    </w:p>
    <w:p w:rsidR="00BB3700" w:rsidRPr="00BB3700" w:rsidRDefault="007A28BF" w:rsidP="007A6E9B">
      <w:pPr>
        <w:spacing w:after="0" w:line="240" w:lineRule="auto"/>
        <w:jc w:val="both"/>
        <w:rPr>
          <w:b/>
          <w:sz w:val="24"/>
          <w:szCs w:val="24"/>
        </w:rPr>
      </w:pPr>
      <w:r>
        <w:rPr>
          <w:b/>
          <w:sz w:val="24"/>
          <w:szCs w:val="24"/>
        </w:rPr>
        <w:t>Anexo</w:t>
      </w:r>
      <w:r w:rsidR="00BB3700" w:rsidRPr="00BB3700">
        <w:rPr>
          <w:b/>
          <w:sz w:val="24"/>
          <w:szCs w:val="24"/>
        </w:rPr>
        <w:t>. Código ético Policía Nacional</w:t>
      </w:r>
    </w:p>
    <w:sectPr w:rsidR="00BB3700" w:rsidRPr="00BB3700">
      <w:headerReference w:type="default" r:id="rId20"/>
      <w:footerReference w:type="default" r:id="rId2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5D2" w:rsidRDefault="003305D2" w:rsidP="003305D2">
      <w:pPr>
        <w:spacing w:after="0" w:line="240" w:lineRule="auto"/>
      </w:pPr>
      <w:r>
        <w:separator/>
      </w:r>
    </w:p>
  </w:endnote>
  <w:endnote w:type="continuationSeparator" w:id="0">
    <w:p w:rsidR="003305D2" w:rsidRDefault="003305D2" w:rsidP="0033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795968"/>
      <w:docPartObj>
        <w:docPartGallery w:val="Page Numbers (Bottom of Page)"/>
        <w:docPartUnique/>
      </w:docPartObj>
    </w:sdtPr>
    <w:sdtEndPr/>
    <w:sdtContent>
      <w:p w:rsidR="00BB3700" w:rsidRDefault="00BB3700">
        <w:pPr>
          <w:pStyle w:val="Piedepgina"/>
          <w:jc w:val="right"/>
        </w:pPr>
        <w:r>
          <w:fldChar w:fldCharType="begin"/>
        </w:r>
        <w:r>
          <w:instrText>PAGE   \* MERGEFORMAT</w:instrText>
        </w:r>
        <w:r>
          <w:fldChar w:fldCharType="separate"/>
        </w:r>
        <w:r w:rsidR="00672A32">
          <w:rPr>
            <w:noProof/>
          </w:rPr>
          <w:t>5</w:t>
        </w:r>
        <w:r>
          <w:fldChar w:fldCharType="end"/>
        </w:r>
      </w:p>
    </w:sdtContent>
  </w:sdt>
  <w:p w:rsidR="00BB3700" w:rsidRDefault="00BB37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5D2" w:rsidRDefault="003305D2" w:rsidP="003305D2">
      <w:pPr>
        <w:spacing w:after="0" w:line="240" w:lineRule="auto"/>
      </w:pPr>
      <w:r>
        <w:separator/>
      </w:r>
    </w:p>
  </w:footnote>
  <w:footnote w:type="continuationSeparator" w:id="0">
    <w:p w:rsidR="003305D2" w:rsidRDefault="003305D2" w:rsidP="003305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5D2" w:rsidRDefault="003305D2">
    <w:pPr>
      <w:pStyle w:val="Encabezado"/>
    </w:pPr>
    <w:r>
      <w:rPr>
        <w:noProof/>
        <w:lang w:eastAsia="es-ES"/>
      </w:rPr>
      <w:drawing>
        <wp:anchor distT="0" distB="0" distL="0" distR="0" simplePos="0" relativeHeight="251659264" behindDoc="1" locked="0" layoutInCell="1" allowOverlap="1" wp14:anchorId="6B1FB466" wp14:editId="3A589C2D">
          <wp:simplePos x="0" y="0"/>
          <wp:positionH relativeFrom="page">
            <wp:posOffset>651510</wp:posOffset>
          </wp:positionH>
          <wp:positionV relativeFrom="page">
            <wp:posOffset>134620</wp:posOffset>
          </wp:positionV>
          <wp:extent cx="670773" cy="71710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670773" cy="7171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0B71B6"/>
    <w:multiLevelType w:val="hybridMultilevel"/>
    <w:tmpl w:val="02DF6EA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7AB0D6"/>
    <w:multiLevelType w:val="hybridMultilevel"/>
    <w:tmpl w:val="A79FA94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D4118"/>
    <w:multiLevelType w:val="hybridMultilevel"/>
    <w:tmpl w:val="ACACB5F6"/>
    <w:lvl w:ilvl="0" w:tplc="B1D8498A">
      <w:start w:val="5"/>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E40DA2"/>
    <w:multiLevelType w:val="hybridMultilevel"/>
    <w:tmpl w:val="41665E1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44E39C0"/>
    <w:multiLevelType w:val="hybridMultilevel"/>
    <w:tmpl w:val="72E668D6"/>
    <w:lvl w:ilvl="0" w:tplc="6C1E47B6">
      <w:start w:val="1"/>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1B583945"/>
    <w:multiLevelType w:val="hybridMultilevel"/>
    <w:tmpl w:val="A89C114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2DDBD5B6"/>
    <w:multiLevelType w:val="hybridMultilevel"/>
    <w:tmpl w:val="4E237DE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E0AF340"/>
    <w:multiLevelType w:val="hybridMultilevel"/>
    <w:tmpl w:val="033094B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0165E94"/>
    <w:multiLevelType w:val="hybridMultilevel"/>
    <w:tmpl w:val="A65A61DE"/>
    <w:lvl w:ilvl="0" w:tplc="1D42D9BC">
      <w:start w:val="1"/>
      <w:numFmt w:val="decimal"/>
      <w:lvlText w:val="%1."/>
      <w:lvlJc w:val="left"/>
      <w:pPr>
        <w:ind w:left="1080" w:hanging="360"/>
      </w:pPr>
      <w:rPr>
        <w:rFonts w:asciiTheme="minorHAnsi" w:eastAsiaTheme="minorHAnsi" w:hAnsiTheme="minorHAnsi" w:cstheme="minorBidi"/>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5BA81323"/>
    <w:multiLevelType w:val="hybridMultilevel"/>
    <w:tmpl w:val="30BC15A6"/>
    <w:lvl w:ilvl="0" w:tplc="1AC4181C">
      <w:start w:val="9"/>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08B7052"/>
    <w:multiLevelType w:val="hybridMultilevel"/>
    <w:tmpl w:val="7B46BCC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3D63A0B"/>
    <w:multiLevelType w:val="hybridMultilevel"/>
    <w:tmpl w:val="DDE404B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680574D"/>
    <w:multiLevelType w:val="hybridMultilevel"/>
    <w:tmpl w:val="92F40E3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A044F04"/>
    <w:multiLevelType w:val="hybridMultilevel"/>
    <w:tmpl w:val="DC8EF4DA"/>
    <w:lvl w:ilvl="0" w:tplc="CDCC8CE0">
      <w:start w:val="1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D144CF5"/>
    <w:multiLevelType w:val="hybridMultilevel"/>
    <w:tmpl w:val="517C726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14"/>
  </w:num>
  <w:num w:numId="4">
    <w:abstractNumId w:val="9"/>
  </w:num>
  <w:num w:numId="5">
    <w:abstractNumId w:val="8"/>
  </w:num>
  <w:num w:numId="6">
    <w:abstractNumId w:val="13"/>
  </w:num>
  <w:num w:numId="7">
    <w:abstractNumId w:val="4"/>
  </w:num>
  <w:num w:numId="8">
    <w:abstractNumId w:val="5"/>
  </w:num>
  <w:num w:numId="9">
    <w:abstractNumId w:val="3"/>
  </w:num>
  <w:num w:numId="10">
    <w:abstractNumId w:val="12"/>
  </w:num>
  <w:num w:numId="11">
    <w:abstractNumId w:val="0"/>
  </w:num>
  <w:num w:numId="12">
    <w:abstractNumId w:val="6"/>
  </w:num>
  <w:num w:numId="13">
    <w:abstractNumId w:val="1"/>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5BB"/>
    <w:rsid w:val="001A3E65"/>
    <w:rsid w:val="0022063B"/>
    <w:rsid w:val="002E60CF"/>
    <w:rsid w:val="003305D2"/>
    <w:rsid w:val="003E6049"/>
    <w:rsid w:val="00404355"/>
    <w:rsid w:val="00440D75"/>
    <w:rsid w:val="0053720E"/>
    <w:rsid w:val="00645E14"/>
    <w:rsid w:val="00672A32"/>
    <w:rsid w:val="007A28BF"/>
    <w:rsid w:val="007A6E9B"/>
    <w:rsid w:val="008624E5"/>
    <w:rsid w:val="00971F98"/>
    <w:rsid w:val="00A92921"/>
    <w:rsid w:val="00B33D10"/>
    <w:rsid w:val="00B474F3"/>
    <w:rsid w:val="00BB3700"/>
    <w:rsid w:val="00C44CE0"/>
    <w:rsid w:val="00D265C3"/>
    <w:rsid w:val="00D7081B"/>
    <w:rsid w:val="00D755BB"/>
    <w:rsid w:val="00DB7526"/>
    <w:rsid w:val="00DC1BC7"/>
    <w:rsid w:val="00E045AB"/>
    <w:rsid w:val="00EA1066"/>
    <w:rsid w:val="00ED477A"/>
    <w:rsid w:val="00F42C27"/>
    <w:rsid w:val="00FE67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C2107"/>
  <w15:chartTrackingRefBased/>
  <w15:docId w15:val="{9225334D-7246-4D91-A1BF-45639CEF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40D75"/>
    <w:pPr>
      <w:ind w:left="720"/>
      <w:contextualSpacing/>
    </w:pPr>
    <w:rPr>
      <w:kern w:val="2"/>
      <w14:ligatures w14:val="standardContextual"/>
    </w:rPr>
  </w:style>
  <w:style w:type="paragraph" w:styleId="Textodeglobo">
    <w:name w:val="Balloon Text"/>
    <w:basedOn w:val="Normal"/>
    <w:link w:val="TextodegloboCar"/>
    <w:uiPriority w:val="99"/>
    <w:semiHidden/>
    <w:unhideWhenUsed/>
    <w:rsid w:val="00F42C2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42C27"/>
    <w:rPr>
      <w:rFonts w:ascii="Segoe UI" w:hAnsi="Segoe UI" w:cs="Segoe UI"/>
      <w:sz w:val="18"/>
      <w:szCs w:val="18"/>
    </w:rPr>
  </w:style>
  <w:style w:type="character" w:customStyle="1" w:styleId="contentpasted0">
    <w:name w:val="contentpasted0"/>
    <w:basedOn w:val="Fuentedeprrafopredeter"/>
    <w:rsid w:val="00E045AB"/>
  </w:style>
  <w:style w:type="character" w:customStyle="1" w:styleId="contentpasted1">
    <w:name w:val="contentpasted1"/>
    <w:basedOn w:val="Fuentedeprrafopredeter"/>
    <w:rsid w:val="00E045AB"/>
  </w:style>
  <w:style w:type="character" w:styleId="Hipervnculo">
    <w:name w:val="Hyperlink"/>
    <w:basedOn w:val="Fuentedeprrafopredeter"/>
    <w:uiPriority w:val="99"/>
    <w:unhideWhenUsed/>
    <w:rsid w:val="00E045AB"/>
    <w:rPr>
      <w:color w:val="0000FF"/>
      <w:u w:val="single"/>
    </w:rPr>
  </w:style>
  <w:style w:type="paragraph" w:styleId="Textocomentario">
    <w:name w:val="annotation text"/>
    <w:basedOn w:val="Normal"/>
    <w:link w:val="TextocomentarioCar"/>
    <w:uiPriority w:val="99"/>
    <w:unhideWhenUsed/>
    <w:rsid w:val="007A6E9B"/>
    <w:pPr>
      <w:spacing w:line="240" w:lineRule="auto"/>
    </w:pPr>
    <w:rPr>
      <w:sz w:val="20"/>
      <w:szCs w:val="20"/>
    </w:rPr>
  </w:style>
  <w:style w:type="character" w:customStyle="1" w:styleId="TextocomentarioCar">
    <w:name w:val="Texto comentario Car"/>
    <w:basedOn w:val="Fuentedeprrafopredeter"/>
    <w:link w:val="Textocomentario"/>
    <w:uiPriority w:val="99"/>
    <w:rsid w:val="007A6E9B"/>
    <w:rPr>
      <w:sz w:val="20"/>
      <w:szCs w:val="20"/>
    </w:rPr>
  </w:style>
  <w:style w:type="paragraph" w:customStyle="1" w:styleId="Default">
    <w:name w:val="Default"/>
    <w:rsid w:val="00D7081B"/>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3305D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305D2"/>
  </w:style>
  <w:style w:type="paragraph" w:styleId="Piedepgina">
    <w:name w:val="footer"/>
    <w:basedOn w:val="Normal"/>
    <w:link w:val="PiedepginaCar"/>
    <w:uiPriority w:val="99"/>
    <w:unhideWhenUsed/>
    <w:rsid w:val="003305D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30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88951">
      <w:bodyDiv w:val="1"/>
      <w:marLeft w:val="0"/>
      <w:marRight w:val="0"/>
      <w:marTop w:val="0"/>
      <w:marBottom w:val="0"/>
      <w:divBdr>
        <w:top w:val="none" w:sz="0" w:space="0" w:color="auto"/>
        <w:left w:val="none" w:sz="0" w:space="0" w:color="auto"/>
        <w:bottom w:val="none" w:sz="0" w:space="0" w:color="auto"/>
        <w:right w:val="none" w:sz="0" w:space="0" w:color="auto"/>
      </w:divBdr>
    </w:div>
    <w:div w:id="480342211">
      <w:bodyDiv w:val="1"/>
      <w:marLeft w:val="0"/>
      <w:marRight w:val="0"/>
      <w:marTop w:val="0"/>
      <w:marBottom w:val="0"/>
      <w:divBdr>
        <w:top w:val="none" w:sz="0" w:space="0" w:color="auto"/>
        <w:left w:val="none" w:sz="0" w:space="0" w:color="auto"/>
        <w:bottom w:val="none" w:sz="0" w:space="0" w:color="auto"/>
        <w:right w:val="none" w:sz="0" w:space="0" w:color="auto"/>
      </w:divBdr>
    </w:div>
    <w:div w:id="684599002">
      <w:bodyDiv w:val="1"/>
      <w:marLeft w:val="0"/>
      <w:marRight w:val="0"/>
      <w:marTop w:val="0"/>
      <w:marBottom w:val="0"/>
      <w:divBdr>
        <w:top w:val="none" w:sz="0" w:space="0" w:color="auto"/>
        <w:left w:val="none" w:sz="0" w:space="0" w:color="auto"/>
        <w:bottom w:val="none" w:sz="0" w:space="0" w:color="auto"/>
        <w:right w:val="none" w:sz="0" w:space="0" w:color="auto"/>
      </w:divBdr>
    </w:div>
    <w:div w:id="685325654">
      <w:bodyDiv w:val="1"/>
      <w:marLeft w:val="0"/>
      <w:marRight w:val="0"/>
      <w:marTop w:val="0"/>
      <w:marBottom w:val="0"/>
      <w:divBdr>
        <w:top w:val="none" w:sz="0" w:space="0" w:color="auto"/>
        <w:left w:val="none" w:sz="0" w:space="0" w:color="auto"/>
        <w:bottom w:val="none" w:sz="0" w:space="0" w:color="auto"/>
        <w:right w:val="none" w:sz="0" w:space="0" w:color="auto"/>
      </w:divBdr>
    </w:div>
    <w:div w:id="752975285">
      <w:bodyDiv w:val="1"/>
      <w:marLeft w:val="0"/>
      <w:marRight w:val="0"/>
      <w:marTop w:val="0"/>
      <w:marBottom w:val="0"/>
      <w:divBdr>
        <w:top w:val="none" w:sz="0" w:space="0" w:color="auto"/>
        <w:left w:val="none" w:sz="0" w:space="0" w:color="auto"/>
        <w:bottom w:val="none" w:sz="0" w:space="0" w:color="auto"/>
        <w:right w:val="none" w:sz="0" w:space="0" w:color="auto"/>
      </w:divBdr>
    </w:div>
    <w:div w:id="962346998">
      <w:bodyDiv w:val="1"/>
      <w:marLeft w:val="0"/>
      <w:marRight w:val="0"/>
      <w:marTop w:val="0"/>
      <w:marBottom w:val="0"/>
      <w:divBdr>
        <w:top w:val="none" w:sz="0" w:space="0" w:color="auto"/>
        <w:left w:val="none" w:sz="0" w:space="0" w:color="auto"/>
        <w:bottom w:val="none" w:sz="0" w:space="0" w:color="auto"/>
        <w:right w:val="none" w:sz="0" w:space="0" w:color="auto"/>
      </w:divBdr>
    </w:div>
    <w:div w:id="1585992307">
      <w:bodyDiv w:val="1"/>
      <w:marLeft w:val="0"/>
      <w:marRight w:val="0"/>
      <w:marTop w:val="0"/>
      <w:marBottom w:val="0"/>
      <w:divBdr>
        <w:top w:val="none" w:sz="0" w:space="0" w:color="auto"/>
        <w:left w:val="none" w:sz="0" w:space="0" w:color="auto"/>
        <w:bottom w:val="none" w:sz="0" w:space="0" w:color="auto"/>
        <w:right w:val="none" w:sz="0" w:space="0" w:color="auto"/>
      </w:divBdr>
    </w:div>
    <w:div w:id="165668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cure-web.cisco.com/1HgoI4evlCmsPCrDkP5V81jQIlE5oXO0J4kspXM1eyoMoE_2ZG8dQ8gvuNbJ5HtMVgbJzto6ps0p4CFrHpxvcw2FaKYrixoXyVOH7plnJzPZeFsuDUqE6q6nBJKcmb4L9tapMu0xTwF3hPwlPVNzcgrApnButiieslwtQhlETV7BUYs-RzSw1oPGMYIqG8pRzvpytUw_xFMfvOYZTPBX_jg/https%3A%2F%2Fwww.defensordelpueblo.es%2Fwp-content%2Fuploads%2F2023%2F03%2FInforme-anual-Anexos-A-Estadistica-Completa.pdf" TargetMode="External"/><Relationship Id="rId13" Type="http://schemas.openxmlformats.org/officeDocument/2006/relationships/hyperlink" Target="https://www.boe.es/eli/es/rd/2022/08/01/666" TargetMode="External"/><Relationship Id="rId18" Type="http://schemas.openxmlformats.org/officeDocument/2006/relationships/hyperlink" Target="https://www.boe.es/boe/dias/2021/01/22/pdfs/BOE-A-2021-962.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defensordelpueblo.es/wp-content/uploads/2023/06/Informe_2022_MNP.pdf" TargetMode="External"/><Relationship Id="rId12" Type="http://schemas.openxmlformats.org/officeDocument/2006/relationships/hyperlink" Target="https://www.boe.es/eli/es/o/2019/02/22/pci179" TargetMode="External"/><Relationship Id="rId17" Type="http://schemas.openxmlformats.org/officeDocument/2006/relationships/hyperlink" Target="https://secure-web.cisco.com/1wWjEQzrb7uGj5qPqLQ6PA4z2IbekmLrZsBhEhnz5jcvRRjW06VYxh4xeiVQj4ikpj0A0kNhB3H2bgbOp6hDDcXNBEubf6LhxB7NUN9-TofhQZXt8aJgBekd_zbWAZunp8nZfvl5G2Pb_46gNVtjcAOyHyBy_GA4BXkhxH1p1h1iWkAiWzMDQITeFkSw50eg7/https%3A%2F%2Fwww.defensordelpueblo.es%2Fwp-content%2Fuploads%2F2022%2F03%2FInstrucci%25C3%25B3n-1-2022_SES_ONGADH.pdf" TargetMode="External"/><Relationship Id="rId2" Type="http://schemas.openxmlformats.org/officeDocument/2006/relationships/styles" Target="styles.xml"/><Relationship Id="rId16" Type="http://schemas.openxmlformats.org/officeDocument/2006/relationships/hyperlink" Target="https://secure-web.cisco.com/14Uh-ZZO9jpDBuSl16u8VitaK0fqsagcjDor264UGBZYYZ2zzUDU0f1teiPJ9yBdRG4O9Afiv3R_kP7FF-_7Z4703RUqhvGELnhAbwepqYjNZO_lbEGWcKIulueQyAslkZe6Qd6YoB052qLNDhviwDI5hulTlQbU7skkrA7DoZ9_ss5UjoRPMn2U_f42cY96J/https%3A%2F%2Fwww.defensordelpueblo.es%2Fwp-content%2Fuploads%2F2022%2F03%2FINSTRUCCI%25C3%2593N-N.-42018.pdf"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e.es/eli/es/lo/2019/02/20/1" TargetMode="External"/><Relationship Id="rId5" Type="http://schemas.openxmlformats.org/officeDocument/2006/relationships/footnotes" Target="footnotes.xml"/><Relationship Id="rId15" Type="http://schemas.openxmlformats.org/officeDocument/2006/relationships/hyperlink" Target="https://secure-web.cisco.com/1zyYWQX6ug3yBfEHf5lAzKkCHuDa8j8TSnrs9os2byjacXHUAQrTus5OXlCsKWQvCYgRVL5noXgxJcloBJCQjVGHzr78Pdd_OVnLinTXSDsbCCrPuVbab-0g_nZ0GX0aAnhQvY34WlplHYkyFdZySd7Tt9FmNkFKoQjpepm5BmqyObzRghL4S8a6XYNq7hu0l/https%3A%2F%2Fwww.defensordelpueblo.es%2Fwp-content%2Fuploads%2F2016%2F03%2FInstruccion_12_2007.pdf" TargetMode="External"/><Relationship Id="rId23" Type="http://schemas.openxmlformats.org/officeDocument/2006/relationships/theme" Target="theme/theme1.xml"/><Relationship Id="rId10" Type="http://schemas.openxmlformats.org/officeDocument/2006/relationships/hyperlink" Target="https://www.boe.es/eli/es/lo/2015/03/30/2" TargetMode="External"/><Relationship Id="rId19" Type="http://schemas.openxmlformats.org/officeDocument/2006/relationships/hyperlink" Target="https://www.boe.es/eli/es/rd/2022/03/04/176/con" TargetMode="External"/><Relationship Id="rId4" Type="http://schemas.openxmlformats.org/officeDocument/2006/relationships/webSettings" Target="webSettings.xml"/><Relationship Id="rId9" Type="http://schemas.openxmlformats.org/officeDocument/2006/relationships/hyperlink" Target="https://www.boe.es/eli/es/rd/2023/07/18/650" TargetMode="External"/><Relationship Id="rId14" Type="http://schemas.openxmlformats.org/officeDocument/2006/relationships/hyperlink" Target="https://www.boe.es/eli/es/o/2007/03/30/int949"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2448</Words>
  <Characters>13468</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MAEC</Company>
  <LinksUpToDate>false</LinksUpToDate>
  <CharactersWithSpaces>15885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Naveiras Torres-Quiroga, Miryam Isabel</dc:creator>
  <cp:keywords/>
  <dc:description/>
  <cp:lastModifiedBy>Espinosa Martí, Josefina</cp:lastModifiedBy>
  <cp:revision>6</cp:revision>
  <cp:lastPrinted>2023-07-25T07:51:00Z</cp:lastPrinted>
  <dcterms:created xsi:type="dcterms:W3CDTF">2023-07-25T08:19:00Z</dcterms:created>
  <dcterms:modified xsi:type="dcterms:W3CDTF">2023-07-27T07:54:00Z</dcterms:modified>
</cp:coreProperties>
</file>